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BE1B" w14:textId="51709182" w:rsidR="00F95F8C" w:rsidRPr="00FD1043" w:rsidRDefault="00062567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5B5165" wp14:editId="3D35546F">
            <wp:simplePos x="0" y="0"/>
            <wp:positionH relativeFrom="column">
              <wp:posOffset>5118100</wp:posOffset>
            </wp:positionH>
            <wp:positionV relativeFrom="paragraph">
              <wp:posOffset>-673100</wp:posOffset>
            </wp:positionV>
            <wp:extent cx="1111250" cy="1111250"/>
            <wp:effectExtent l="0" t="0" r="0" b="0"/>
            <wp:wrapNone/>
            <wp:docPr id="18918555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55515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F8C" w:rsidRPr="00FD1043">
        <w:rPr>
          <w:rFonts w:ascii="Arial" w:hAnsi="Arial" w:cs="Arial"/>
          <w:b/>
          <w:bCs/>
        </w:rPr>
        <w:t>Guidance Notes for Care Act Advocacy</w:t>
      </w:r>
    </w:p>
    <w:p w14:paraId="6EC7EDFB" w14:textId="77777777" w:rsidR="00DD127D" w:rsidRPr="00FD1043" w:rsidRDefault="00DD127D">
      <w:pPr>
        <w:rPr>
          <w:rFonts w:ascii="Arial" w:hAnsi="Arial" w:cs="Arial"/>
          <w:b/>
          <w:bCs/>
        </w:rPr>
      </w:pPr>
    </w:p>
    <w:p w14:paraId="09A6D3E2" w14:textId="6A676B95" w:rsidR="00DD127D" w:rsidRPr="00FD1043" w:rsidRDefault="00DD127D">
      <w:pPr>
        <w:rPr>
          <w:rFonts w:ascii="Arial" w:hAnsi="Arial" w:cs="Arial"/>
          <w:b/>
          <w:bCs/>
        </w:rPr>
      </w:pPr>
      <w:r w:rsidRPr="00FD1043">
        <w:rPr>
          <w:rFonts w:ascii="Arial" w:hAnsi="Arial" w:cs="Arial"/>
          <w:b/>
          <w:bCs/>
        </w:rPr>
        <w:t>Eligibility Criteria</w:t>
      </w:r>
    </w:p>
    <w:p w14:paraId="536A0C5F" w14:textId="2F1E593F" w:rsidR="00F95F8C" w:rsidRPr="001E14AF" w:rsidRDefault="00F95F8C" w:rsidP="001E14AF">
      <w:pPr>
        <w:rPr>
          <w:rFonts w:ascii="Arial" w:hAnsi="Arial" w:cs="Arial"/>
        </w:rPr>
      </w:pPr>
      <w:r w:rsidRPr="001E14AF">
        <w:rPr>
          <w:rFonts w:ascii="Arial" w:hAnsi="Arial" w:cs="Arial"/>
        </w:rPr>
        <w:t>Care Act Advocacy is a statutory service available for</w:t>
      </w:r>
      <w:r w:rsidR="008C3CE4" w:rsidRPr="001E14AF">
        <w:rPr>
          <w:rFonts w:ascii="Arial" w:hAnsi="Arial" w:cs="Arial"/>
        </w:rPr>
        <w:t xml:space="preserve"> adults who are 18 years or over </w:t>
      </w:r>
      <w:r w:rsidRPr="001E14AF">
        <w:rPr>
          <w:rFonts w:ascii="Arial" w:hAnsi="Arial" w:cs="Arial"/>
        </w:rPr>
        <w:t xml:space="preserve">who may have </w:t>
      </w:r>
      <w:r w:rsidRPr="001E14AF">
        <w:rPr>
          <w:rFonts w:ascii="Arial" w:hAnsi="Arial" w:cs="Arial"/>
          <w:b/>
          <w:bCs/>
        </w:rPr>
        <w:t xml:space="preserve">substantial difficulty </w:t>
      </w:r>
      <w:r w:rsidRPr="001E14AF">
        <w:rPr>
          <w:rFonts w:ascii="Arial" w:hAnsi="Arial" w:cs="Arial"/>
        </w:rPr>
        <w:t xml:space="preserve">in being fully involved with decisions made about them and their care and support. </w:t>
      </w:r>
      <w:r w:rsidR="00B82044" w:rsidRPr="001E14AF">
        <w:rPr>
          <w:rFonts w:ascii="Arial" w:hAnsi="Arial" w:cs="Arial"/>
          <w:color w:val="0A0A0A"/>
          <w:shd w:val="clear" w:color="auto" w:fill="FFFFFF"/>
        </w:rPr>
        <w:t>It also covers young people over the age of 16 who are transitioning to</w:t>
      </w:r>
      <w:r w:rsidR="00BB2DF9" w:rsidRPr="001E14AF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B82044" w:rsidRPr="001E14AF">
        <w:rPr>
          <w:rFonts w:ascii="Arial" w:hAnsi="Arial" w:cs="Arial"/>
          <w:color w:val="0A0A0A"/>
          <w:shd w:val="clear" w:color="auto" w:fill="FFFFFF"/>
        </w:rPr>
        <w:t>adult services</w:t>
      </w:r>
      <w:r w:rsidR="00007D98">
        <w:rPr>
          <w:rFonts w:ascii="Arial" w:hAnsi="Arial" w:cs="Arial"/>
          <w:color w:val="0A0A0A"/>
          <w:shd w:val="clear" w:color="auto" w:fill="FFFFFF"/>
        </w:rPr>
        <w:t xml:space="preserve">. </w:t>
      </w:r>
    </w:p>
    <w:p w14:paraId="09F1309A" w14:textId="77777777" w:rsidR="00DD127D" w:rsidRPr="00FD1043" w:rsidRDefault="00F95F8C" w:rsidP="00CD5CE1">
      <w:pPr>
        <w:rPr>
          <w:rFonts w:ascii="Arial" w:hAnsi="Arial" w:cs="Arial"/>
        </w:rPr>
      </w:pPr>
      <w:r w:rsidRPr="00FD1043">
        <w:rPr>
          <w:rFonts w:ascii="Arial" w:hAnsi="Arial" w:cs="Arial"/>
        </w:rPr>
        <w:t>The Care Act defines four areas where substantial difficulty might be found:</w:t>
      </w:r>
    </w:p>
    <w:p w14:paraId="0E1EA716" w14:textId="77777777" w:rsidR="00CD5CE1" w:rsidRDefault="00F95F8C" w:rsidP="00CD5CE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D5CE1">
        <w:rPr>
          <w:rFonts w:ascii="Arial" w:hAnsi="Arial" w:cs="Arial"/>
        </w:rPr>
        <w:t xml:space="preserve">Understanding relevant information </w:t>
      </w:r>
    </w:p>
    <w:p w14:paraId="04DEE11D" w14:textId="77777777" w:rsidR="00CD5CE1" w:rsidRDefault="00F95F8C" w:rsidP="00CD5CE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D5CE1">
        <w:rPr>
          <w:rFonts w:ascii="Arial" w:hAnsi="Arial" w:cs="Arial"/>
        </w:rPr>
        <w:t>Retaining that information</w:t>
      </w:r>
    </w:p>
    <w:p w14:paraId="1253289A" w14:textId="77777777" w:rsidR="00CD5CE1" w:rsidRDefault="00F95F8C" w:rsidP="00CD5CE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D5CE1">
        <w:rPr>
          <w:rFonts w:ascii="Arial" w:hAnsi="Arial" w:cs="Arial"/>
        </w:rPr>
        <w:t xml:space="preserve">Using or weighing that information as part of engaging </w:t>
      </w:r>
    </w:p>
    <w:p w14:paraId="554E815F" w14:textId="238722EA" w:rsidR="00F95F8C" w:rsidRPr="00CD5CE1" w:rsidRDefault="00F95F8C" w:rsidP="00CD5CE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D5CE1">
        <w:rPr>
          <w:rFonts w:ascii="Arial" w:hAnsi="Arial" w:cs="Arial"/>
        </w:rPr>
        <w:t xml:space="preserve">Communicating their views, wishes and feelings </w:t>
      </w:r>
    </w:p>
    <w:p w14:paraId="62BAFE88" w14:textId="36C153ED" w:rsidR="00F95F8C" w:rsidRPr="00FD1043" w:rsidRDefault="00F95F8C" w:rsidP="00CD5CE1">
      <w:pPr>
        <w:rPr>
          <w:rFonts w:ascii="Arial" w:hAnsi="Arial" w:cs="Arial"/>
        </w:rPr>
      </w:pPr>
      <w:r w:rsidRPr="00FD1043">
        <w:rPr>
          <w:rFonts w:ascii="Arial" w:hAnsi="Arial" w:cs="Arial"/>
        </w:rPr>
        <w:t>People can experience substantial difficulty without having a cognitive impairment</w:t>
      </w:r>
      <w:r w:rsidR="00DD127D" w:rsidRPr="00FD1043">
        <w:rPr>
          <w:rFonts w:ascii="Arial" w:hAnsi="Arial" w:cs="Arial"/>
        </w:rPr>
        <w:t xml:space="preserve"> and t</w:t>
      </w:r>
      <w:r w:rsidRPr="00FD1043">
        <w:rPr>
          <w:rFonts w:ascii="Arial" w:hAnsi="Arial" w:cs="Arial"/>
        </w:rPr>
        <w:t>he person may or may not lack capacity.</w:t>
      </w:r>
    </w:p>
    <w:p w14:paraId="34E23D51" w14:textId="77777777" w:rsidR="00F95F8C" w:rsidRPr="00FD1043" w:rsidRDefault="00F95F8C">
      <w:pPr>
        <w:rPr>
          <w:rFonts w:ascii="Arial" w:hAnsi="Arial" w:cs="Arial"/>
        </w:rPr>
      </w:pPr>
    </w:p>
    <w:p w14:paraId="7EE7A5BF" w14:textId="36B54765" w:rsidR="00CD5CE1" w:rsidRDefault="00F95F8C" w:rsidP="00CD5CE1">
      <w:pPr>
        <w:rPr>
          <w:rFonts w:ascii="Arial" w:hAnsi="Arial" w:cs="Arial"/>
        </w:rPr>
      </w:pPr>
      <w:r w:rsidRPr="00CD5CE1">
        <w:rPr>
          <w:rFonts w:ascii="Arial" w:hAnsi="Arial" w:cs="Arial"/>
        </w:rPr>
        <w:t xml:space="preserve">A </w:t>
      </w:r>
      <w:r w:rsidR="00C61EFC" w:rsidRPr="00CD5CE1">
        <w:rPr>
          <w:rFonts w:ascii="Arial" w:hAnsi="Arial" w:cs="Arial"/>
        </w:rPr>
        <w:t>C</w:t>
      </w:r>
      <w:r w:rsidRPr="00CD5CE1">
        <w:rPr>
          <w:rFonts w:ascii="Arial" w:hAnsi="Arial" w:cs="Arial"/>
        </w:rPr>
        <w:t xml:space="preserve">are </w:t>
      </w:r>
      <w:r w:rsidR="00C61EFC" w:rsidRPr="00CD5CE1">
        <w:rPr>
          <w:rFonts w:ascii="Arial" w:hAnsi="Arial" w:cs="Arial"/>
        </w:rPr>
        <w:t>A</w:t>
      </w:r>
      <w:r w:rsidRPr="00CD5CE1">
        <w:rPr>
          <w:rFonts w:ascii="Arial" w:hAnsi="Arial" w:cs="Arial"/>
        </w:rPr>
        <w:t xml:space="preserve">ct </w:t>
      </w:r>
      <w:r w:rsidR="00007D98">
        <w:rPr>
          <w:rFonts w:ascii="Arial" w:hAnsi="Arial" w:cs="Arial"/>
        </w:rPr>
        <w:t>a</w:t>
      </w:r>
      <w:r w:rsidRPr="00CD5CE1">
        <w:rPr>
          <w:rFonts w:ascii="Arial" w:hAnsi="Arial" w:cs="Arial"/>
        </w:rPr>
        <w:t>dvocate can support in any of the following processes:</w:t>
      </w:r>
    </w:p>
    <w:p w14:paraId="0195FF74" w14:textId="77777777" w:rsidR="00CD5CE1" w:rsidRDefault="00C61EFC" w:rsidP="00CD5CE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D5CE1">
        <w:rPr>
          <w:rFonts w:ascii="Arial" w:hAnsi="Arial" w:cs="Arial"/>
        </w:rPr>
        <w:t>C</w:t>
      </w:r>
      <w:r w:rsidR="00F95F8C" w:rsidRPr="00CD5CE1">
        <w:rPr>
          <w:rFonts w:ascii="Arial" w:hAnsi="Arial" w:cs="Arial"/>
        </w:rPr>
        <w:t>are and support assessmen</w:t>
      </w:r>
      <w:r w:rsidR="00DD127D" w:rsidRPr="00CD5CE1">
        <w:rPr>
          <w:rFonts w:ascii="Arial" w:hAnsi="Arial" w:cs="Arial"/>
        </w:rPr>
        <w:t>t (including carer</w:t>
      </w:r>
      <w:r w:rsidR="00F95F8C" w:rsidRPr="00CD5CE1">
        <w:rPr>
          <w:rFonts w:ascii="Arial" w:hAnsi="Arial" w:cs="Arial"/>
        </w:rPr>
        <w:t xml:space="preserve"> assessment</w:t>
      </w:r>
      <w:r w:rsidR="00DD127D" w:rsidRPr="00CD5CE1">
        <w:rPr>
          <w:rFonts w:ascii="Arial" w:hAnsi="Arial" w:cs="Arial"/>
        </w:rPr>
        <w:t>s)</w:t>
      </w:r>
    </w:p>
    <w:p w14:paraId="1E00508D" w14:textId="77777777" w:rsidR="00CD5CE1" w:rsidRDefault="00C61EFC" w:rsidP="00CD5CE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D5CE1">
        <w:rPr>
          <w:rFonts w:ascii="Arial" w:hAnsi="Arial" w:cs="Arial"/>
        </w:rPr>
        <w:t>C</w:t>
      </w:r>
      <w:r w:rsidR="00F95F8C" w:rsidRPr="00CD5CE1">
        <w:rPr>
          <w:rFonts w:ascii="Arial" w:hAnsi="Arial" w:cs="Arial"/>
        </w:rPr>
        <w:t>are and support planning</w:t>
      </w:r>
      <w:r w:rsidR="00DD127D" w:rsidRPr="00CD5CE1">
        <w:rPr>
          <w:rFonts w:ascii="Arial" w:hAnsi="Arial" w:cs="Arial"/>
        </w:rPr>
        <w:t xml:space="preserve"> (Including transition planning for young people moving from </w:t>
      </w:r>
      <w:r w:rsidRPr="00CD5CE1">
        <w:rPr>
          <w:rFonts w:ascii="Arial" w:hAnsi="Arial" w:cs="Arial"/>
        </w:rPr>
        <w:t>c</w:t>
      </w:r>
      <w:r w:rsidR="00DD127D" w:rsidRPr="00CD5CE1">
        <w:rPr>
          <w:rFonts w:ascii="Arial" w:hAnsi="Arial" w:cs="Arial"/>
        </w:rPr>
        <w:t xml:space="preserve">hildren’s </w:t>
      </w:r>
      <w:r w:rsidRPr="00CD5CE1">
        <w:rPr>
          <w:rFonts w:ascii="Arial" w:hAnsi="Arial" w:cs="Arial"/>
        </w:rPr>
        <w:t>s</w:t>
      </w:r>
      <w:r w:rsidR="00DD127D" w:rsidRPr="00CD5CE1">
        <w:rPr>
          <w:rFonts w:ascii="Arial" w:hAnsi="Arial" w:cs="Arial"/>
        </w:rPr>
        <w:t xml:space="preserve">ocial </w:t>
      </w:r>
      <w:r w:rsidRPr="00CD5CE1">
        <w:rPr>
          <w:rFonts w:ascii="Arial" w:hAnsi="Arial" w:cs="Arial"/>
        </w:rPr>
        <w:t>c</w:t>
      </w:r>
      <w:r w:rsidR="00DD127D" w:rsidRPr="00CD5CE1">
        <w:rPr>
          <w:rFonts w:ascii="Arial" w:hAnsi="Arial" w:cs="Arial"/>
        </w:rPr>
        <w:t xml:space="preserve">are to </w:t>
      </w:r>
      <w:r w:rsidRPr="00CD5CE1">
        <w:rPr>
          <w:rFonts w:ascii="Arial" w:hAnsi="Arial" w:cs="Arial"/>
        </w:rPr>
        <w:t>a</w:t>
      </w:r>
      <w:r w:rsidR="00DD127D" w:rsidRPr="00CD5CE1">
        <w:rPr>
          <w:rFonts w:ascii="Arial" w:hAnsi="Arial" w:cs="Arial"/>
        </w:rPr>
        <w:t xml:space="preserve">dult </w:t>
      </w:r>
      <w:r w:rsidRPr="00CD5CE1">
        <w:rPr>
          <w:rFonts w:ascii="Arial" w:hAnsi="Arial" w:cs="Arial"/>
        </w:rPr>
        <w:t>s</w:t>
      </w:r>
      <w:r w:rsidR="00DD127D" w:rsidRPr="00CD5CE1">
        <w:rPr>
          <w:rFonts w:ascii="Arial" w:hAnsi="Arial" w:cs="Arial"/>
        </w:rPr>
        <w:t xml:space="preserve">ocial </w:t>
      </w:r>
      <w:r w:rsidRPr="00CD5CE1">
        <w:rPr>
          <w:rFonts w:ascii="Arial" w:hAnsi="Arial" w:cs="Arial"/>
        </w:rPr>
        <w:t>c</w:t>
      </w:r>
      <w:r w:rsidR="00DD127D" w:rsidRPr="00CD5CE1">
        <w:rPr>
          <w:rFonts w:ascii="Arial" w:hAnsi="Arial" w:cs="Arial"/>
        </w:rPr>
        <w:t>are)</w:t>
      </w:r>
    </w:p>
    <w:p w14:paraId="38D19ECA" w14:textId="77777777" w:rsidR="00CD5CE1" w:rsidRDefault="00C61EFC" w:rsidP="00CD5CE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D5CE1">
        <w:rPr>
          <w:rFonts w:ascii="Arial" w:hAnsi="Arial" w:cs="Arial"/>
        </w:rPr>
        <w:t>C</w:t>
      </w:r>
      <w:r w:rsidR="00F95F8C" w:rsidRPr="00CD5CE1">
        <w:rPr>
          <w:rFonts w:ascii="Arial" w:hAnsi="Arial" w:cs="Arial"/>
        </w:rPr>
        <w:t>are and support review</w:t>
      </w:r>
    </w:p>
    <w:p w14:paraId="79731B66" w14:textId="104111B3" w:rsidR="00F95F8C" w:rsidRPr="00CD5CE1" w:rsidRDefault="00C61EFC" w:rsidP="00CD5CE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D5CE1">
        <w:rPr>
          <w:rFonts w:ascii="Arial" w:hAnsi="Arial" w:cs="Arial"/>
        </w:rPr>
        <w:t>S</w:t>
      </w:r>
      <w:r w:rsidR="00F95F8C" w:rsidRPr="00CD5CE1">
        <w:rPr>
          <w:rFonts w:ascii="Arial" w:hAnsi="Arial" w:cs="Arial"/>
        </w:rPr>
        <w:t>afeguarding processes</w:t>
      </w:r>
    </w:p>
    <w:p w14:paraId="088A309F" w14:textId="6A32FD26" w:rsidR="00F95F8C" w:rsidRPr="00CD5CE1" w:rsidRDefault="00F95F8C" w:rsidP="00CD5CE1">
      <w:pPr>
        <w:rPr>
          <w:rFonts w:ascii="Arial" w:hAnsi="Arial" w:cs="Arial"/>
        </w:rPr>
      </w:pPr>
      <w:r w:rsidRPr="00CD5CE1">
        <w:rPr>
          <w:rFonts w:ascii="Arial" w:hAnsi="Arial" w:cs="Arial"/>
        </w:rPr>
        <w:t xml:space="preserve">The person must have </w:t>
      </w:r>
      <w:r w:rsidRPr="00E47256">
        <w:rPr>
          <w:rFonts w:ascii="Arial" w:hAnsi="Arial" w:cs="Arial"/>
          <w:b/>
          <w:bCs/>
        </w:rPr>
        <w:t>no one else who is willing and deemed appropriate</w:t>
      </w:r>
      <w:r w:rsidRPr="00CD5CE1">
        <w:rPr>
          <w:rFonts w:ascii="Arial" w:hAnsi="Arial" w:cs="Arial"/>
        </w:rPr>
        <w:t xml:space="preserve"> to support or represent them through the processes. </w:t>
      </w:r>
    </w:p>
    <w:p w14:paraId="2C7FD78A" w14:textId="77777777" w:rsidR="006B1F4B" w:rsidRDefault="006B1F4B" w:rsidP="006A50EB">
      <w:pPr>
        <w:rPr>
          <w:rFonts w:ascii="Arial" w:hAnsi="Arial" w:cs="Arial"/>
        </w:rPr>
      </w:pPr>
    </w:p>
    <w:p w14:paraId="3722CF97" w14:textId="11533A68" w:rsidR="00F95F8C" w:rsidRPr="00FD1043" w:rsidRDefault="00F95F8C" w:rsidP="006A50EB">
      <w:pPr>
        <w:rPr>
          <w:rFonts w:ascii="Arial" w:hAnsi="Arial" w:cs="Arial"/>
        </w:rPr>
      </w:pPr>
      <w:r w:rsidRPr="00FD1043">
        <w:rPr>
          <w:rFonts w:ascii="Arial" w:hAnsi="Arial" w:cs="Arial"/>
        </w:rPr>
        <w:t xml:space="preserve">The appropriate individual cannot </w:t>
      </w:r>
      <w:r w:rsidR="00DD127D" w:rsidRPr="00FD1043">
        <w:rPr>
          <w:rFonts w:ascii="Arial" w:hAnsi="Arial" w:cs="Arial"/>
        </w:rPr>
        <w:t>be</w:t>
      </w:r>
      <w:r w:rsidRPr="00FD1043">
        <w:rPr>
          <w:rFonts w:ascii="Arial" w:hAnsi="Arial" w:cs="Arial"/>
        </w:rPr>
        <w:t xml:space="preserve"> providing care or treatment in a paid capacity</w:t>
      </w:r>
      <w:r w:rsidR="006B1F4B">
        <w:rPr>
          <w:rFonts w:ascii="Arial" w:hAnsi="Arial" w:cs="Arial"/>
        </w:rPr>
        <w:t xml:space="preserve">. </w:t>
      </w:r>
    </w:p>
    <w:p w14:paraId="4C497314" w14:textId="232057C0" w:rsidR="00DD127D" w:rsidRPr="00FD1043" w:rsidRDefault="00F95F8C" w:rsidP="006A50EB">
      <w:pPr>
        <w:rPr>
          <w:rFonts w:ascii="Arial" w:hAnsi="Arial" w:cs="Arial"/>
        </w:rPr>
      </w:pPr>
      <w:r w:rsidRPr="00FD1043">
        <w:rPr>
          <w:rFonts w:ascii="Arial" w:hAnsi="Arial" w:cs="Arial"/>
        </w:rPr>
        <w:t>If the person being supported has capacity they must agree to the appropriate individual supporting them - sometimes people do not wish to be supported by their family member</w:t>
      </w:r>
      <w:r w:rsidR="008A3D9E">
        <w:rPr>
          <w:rFonts w:ascii="Arial" w:hAnsi="Arial" w:cs="Arial"/>
        </w:rPr>
        <w:t>.</w:t>
      </w:r>
    </w:p>
    <w:p w14:paraId="35CEE6AA" w14:textId="543F74A0" w:rsidR="00DD127D" w:rsidRPr="00FD1043" w:rsidRDefault="00F95F8C" w:rsidP="006A50EB">
      <w:pPr>
        <w:rPr>
          <w:rFonts w:ascii="Arial" w:hAnsi="Arial" w:cs="Arial"/>
        </w:rPr>
      </w:pPr>
      <w:r w:rsidRPr="00FD1043">
        <w:rPr>
          <w:rFonts w:ascii="Arial" w:hAnsi="Arial" w:cs="Arial"/>
        </w:rPr>
        <w:t>If the person being supported lacks capacity, the local authority must be satisfied that it is in the person’s best interests to be supported by the appropriate individual</w:t>
      </w:r>
      <w:r w:rsidR="00D201FD">
        <w:rPr>
          <w:rFonts w:ascii="Arial" w:hAnsi="Arial" w:cs="Arial"/>
        </w:rPr>
        <w:t>.</w:t>
      </w:r>
    </w:p>
    <w:p w14:paraId="36C8C2DF" w14:textId="78FC862E" w:rsidR="00F95F8C" w:rsidRPr="00FD1043" w:rsidRDefault="00F95F8C" w:rsidP="006A50EB">
      <w:pPr>
        <w:rPr>
          <w:rFonts w:ascii="Arial" w:hAnsi="Arial" w:cs="Arial"/>
        </w:rPr>
      </w:pPr>
      <w:r w:rsidRPr="00FD1043">
        <w:rPr>
          <w:rFonts w:ascii="Arial" w:hAnsi="Arial" w:cs="Arial"/>
        </w:rPr>
        <w:t>Within a safeguarding process the ‘person of interest’ cannot be an appropriate individual</w:t>
      </w:r>
      <w:r w:rsidR="0069799E">
        <w:rPr>
          <w:rFonts w:ascii="Arial" w:hAnsi="Arial" w:cs="Arial"/>
        </w:rPr>
        <w:t>.</w:t>
      </w:r>
    </w:p>
    <w:p w14:paraId="342ED0E6" w14:textId="77777777" w:rsidR="006B1F4B" w:rsidRDefault="00F95F8C">
      <w:pPr>
        <w:rPr>
          <w:rFonts w:ascii="Arial" w:hAnsi="Arial" w:cs="Arial"/>
        </w:rPr>
      </w:pPr>
      <w:r w:rsidRPr="00FD1043">
        <w:rPr>
          <w:rFonts w:ascii="Arial" w:hAnsi="Arial" w:cs="Arial"/>
        </w:rPr>
        <w:t>If the</w:t>
      </w:r>
      <w:r w:rsidR="00BB1CB5">
        <w:rPr>
          <w:rFonts w:ascii="Arial" w:hAnsi="Arial" w:cs="Arial"/>
        </w:rPr>
        <w:t xml:space="preserve"> above </w:t>
      </w:r>
      <w:r w:rsidRPr="00FD1043">
        <w:rPr>
          <w:rFonts w:ascii="Arial" w:hAnsi="Arial" w:cs="Arial"/>
        </w:rPr>
        <w:t xml:space="preserve">criteria are met the local authority has a duty to arrange for an independent advocate. This duty applies in all settings including the community, </w:t>
      </w:r>
      <w:r w:rsidR="006B1F4B">
        <w:rPr>
          <w:rFonts w:ascii="Arial" w:hAnsi="Arial" w:cs="Arial"/>
        </w:rPr>
        <w:t xml:space="preserve">hospital, </w:t>
      </w:r>
      <w:r w:rsidRPr="00FD1043">
        <w:rPr>
          <w:rFonts w:ascii="Arial" w:hAnsi="Arial" w:cs="Arial"/>
        </w:rPr>
        <w:t>care homes or prisons.</w:t>
      </w:r>
    </w:p>
    <w:p w14:paraId="6B8125D9" w14:textId="4AF4B915" w:rsidR="00DD127D" w:rsidRPr="00FD1043" w:rsidRDefault="00DD127D">
      <w:pPr>
        <w:rPr>
          <w:rFonts w:ascii="Arial" w:hAnsi="Arial" w:cs="Arial"/>
        </w:rPr>
      </w:pPr>
      <w:r w:rsidRPr="00FD1043">
        <w:rPr>
          <w:rFonts w:ascii="Arial" w:hAnsi="Arial" w:cs="Arial"/>
          <w:b/>
          <w:bCs/>
        </w:rPr>
        <w:lastRenderedPageBreak/>
        <w:t>Communicating a decision about an appropriate individual</w:t>
      </w:r>
      <w:r w:rsidRPr="00FD1043">
        <w:rPr>
          <w:rFonts w:ascii="Arial" w:hAnsi="Arial" w:cs="Arial"/>
        </w:rPr>
        <w:t xml:space="preserve"> </w:t>
      </w:r>
    </w:p>
    <w:p w14:paraId="4A350B36" w14:textId="77777777" w:rsidR="00DD127D" w:rsidRPr="00FD1043" w:rsidRDefault="00DD127D">
      <w:pPr>
        <w:rPr>
          <w:rFonts w:ascii="Arial" w:hAnsi="Arial" w:cs="Arial"/>
        </w:rPr>
      </w:pPr>
      <w:r w:rsidRPr="00FD1043">
        <w:rPr>
          <w:rFonts w:ascii="Arial" w:hAnsi="Arial" w:cs="Arial"/>
        </w:rPr>
        <w:t xml:space="preserve">It is the responsibility of the local authority to decide whether someone can or cannot act as an appropriate individual and to communicate the decision to the person’s friends and family. </w:t>
      </w:r>
    </w:p>
    <w:p w14:paraId="5CF581C2" w14:textId="6FFBE224" w:rsidR="00DD127D" w:rsidRPr="00FD1043" w:rsidRDefault="00DD127D">
      <w:pPr>
        <w:rPr>
          <w:rFonts w:ascii="Arial" w:hAnsi="Arial" w:cs="Arial"/>
        </w:rPr>
      </w:pPr>
      <w:r w:rsidRPr="00FD1043">
        <w:rPr>
          <w:rFonts w:ascii="Arial" w:hAnsi="Arial" w:cs="Arial"/>
        </w:rPr>
        <w:t>The local authority must ensure that family are notified if they have made a referral for a Care Act advocate and communicate the reasons for this.</w:t>
      </w:r>
    </w:p>
    <w:p w14:paraId="2454A8FE" w14:textId="77777777" w:rsidR="00DD127D" w:rsidRPr="00FD1043" w:rsidRDefault="00DD127D">
      <w:pPr>
        <w:rPr>
          <w:rFonts w:ascii="Arial" w:hAnsi="Arial" w:cs="Arial"/>
        </w:rPr>
      </w:pPr>
    </w:p>
    <w:p w14:paraId="7F98E78A" w14:textId="77777777" w:rsidR="00DD127D" w:rsidRPr="00FD1043" w:rsidRDefault="00DD127D">
      <w:pPr>
        <w:rPr>
          <w:rFonts w:ascii="Arial" w:hAnsi="Arial" w:cs="Arial"/>
        </w:rPr>
      </w:pPr>
      <w:r w:rsidRPr="00FD1043">
        <w:rPr>
          <w:rFonts w:ascii="Arial" w:hAnsi="Arial" w:cs="Arial"/>
          <w:b/>
          <w:bCs/>
        </w:rPr>
        <w:t>Making a Care Act Advocacy referral</w:t>
      </w:r>
      <w:r w:rsidRPr="00FD1043">
        <w:rPr>
          <w:rFonts w:ascii="Arial" w:hAnsi="Arial" w:cs="Arial"/>
        </w:rPr>
        <w:t xml:space="preserve"> </w:t>
      </w:r>
    </w:p>
    <w:p w14:paraId="6118861C" w14:textId="2B0BA50C" w:rsidR="00DD127D" w:rsidRPr="00FD1043" w:rsidRDefault="00DD127D">
      <w:pPr>
        <w:rPr>
          <w:rFonts w:ascii="Arial" w:hAnsi="Arial" w:cs="Arial"/>
        </w:rPr>
      </w:pPr>
      <w:r w:rsidRPr="00FD1043">
        <w:rPr>
          <w:rFonts w:ascii="Arial" w:hAnsi="Arial" w:cs="Arial"/>
        </w:rPr>
        <w:t xml:space="preserve">Referrals should be made as soon as </w:t>
      </w:r>
      <w:proofErr w:type="gramStart"/>
      <w:r w:rsidRPr="00FD1043">
        <w:rPr>
          <w:rFonts w:ascii="Arial" w:hAnsi="Arial" w:cs="Arial"/>
        </w:rPr>
        <w:t xml:space="preserve">it is clear that </w:t>
      </w:r>
      <w:r w:rsidR="006B1F4B">
        <w:rPr>
          <w:rFonts w:ascii="Arial" w:hAnsi="Arial" w:cs="Arial"/>
        </w:rPr>
        <w:t>the</w:t>
      </w:r>
      <w:proofErr w:type="gramEnd"/>
      <w:r w:rsidRPr="00FD1043">
        <w:rPr>
          <w:rFonts w:ascii="Arial" w:hAnsi="Arial" w:cs="Arial"/>
        </w:rPr>
        <w:t xml:space="preserve"> person will have substantial difficulty being involved </w:t>
      </w:r>
      <w:r w:rsidR="00FD1043">
        <w:rPr>
          <w:rFonts w:ascii="Arial" w:hAnsi="Arial" w:cs="Arial"/>
        </w:rPr>
        <w:t xml:space="preserve">in a process </w:t>
      </w:r>
      <w:r w:rsidRPr="00FD1043">
        <w:rPr>
          <w:rFonts w:ascii="Arial" w:hAnsi="Arial" w:cs="Arial"/>
        </w:rPr>
        <w:t xml:space="preserve">and no appropriate individual has been identified to support them. </w:t>
      </w:r>
    </w:p>
    <w:p w14:paraId="0F364BAD" w14:textId="54576BB8" w:rsidR="00C61EFC" w:rsidRPr="00FD1043" w:rsidRDefault="00DD127D">
      <w:pPr>
        <w:rPr>
          <w:rFonts w:ascii="Arial" w:hAnsi="Arial" w:cs="Arial"/>
        </w:rPr>
      </w:pPr>
      <w:r w:rsidRPr="00FD1043">
        <w:rPr>
          <w:rFonts w:ascii="Arial" w:hAnsi="Arial" w:cs="Arial"/>
        </w:rPr>
        <w:t xml:space="preserve">Advocacy should be considered at the earliest possible stage of a </w:t>
      </w:r>
      <w:r w:rsidR="006B1F4B">
        <w:rPr>
          <w:rFonts w:ascii="Arial" w:hAnsi="Arial" w:cs="Arial"/>
        </w:rPr>
        <w:t xml:space="preserve">Care Act </w:t>
      </w:r>
      <w:r w:rsidRPr="00FD1043">
        <w:rPr>
          <w:rFonts w:ascii="Arial" w:hAnsi="Arial" w:cs="Arial"/>
        </w:rPr>
        <w:t xml:space="preserve">process. </w:t>
      </w:r>
    </w:p>
    <w:p w14:paraId="6972F837" w14:textId="6FA7BED7" w:rsidR="00DD127D" w:rsidRDefault="00C61EFC">
      <w:pPr>
        <w:rPr>
          <w:rFonts w:ascii="Arial" w:hAnsi="Arial" w:cs="Arial"/>
        </w:rPr>
      </w:pPr>
      <w:r w:rsidRPr="00FD1043">
        <w:rPr>
          <w:rFonts w:ascii="Arial" w:hAnsi="Arial" w:cs="Arial"/>
        </w:rPr>
        <w:t>A</w:t>
      </w:r>
      <w:r w:rsidR="00DD127D" w:rsidRPr="00FD1043">
        <w:rPr>
          <w:rFonts w:ascii="Arial" w:hAnsi="Arial" w:cs="Arial"/>
        </w:rPr>
        <w:t xml:space="preserve"> referral can be made if the situation changes </w:t>
      </w:r>
      <w:r w:rsidR="00ED6327">
        <w:rPr>
          <w:rFonts w:ascii="Arial" w:hAnsi="Arial" w:cs="Arial"/>
        </w:rPr>
        <w:t>or</w:t>
      </w:r>
      <w:r w:rsidR="00DD127D" w:rsidRPr="00FD1043">
        <w:rPr>
          <w:rFonts w:ascii="Arial" w:hAnsi="Arial" w:cs="Arial"/>
        </w:rPr>
        <w:t xml:space="preserve"> where advocacy had previously been deemed as not appropriate.</w:t>
      </w:r>
      <w:r w:rsidR="00ED6327">
        <w:rPr>
          <w:rFonts w:ascii="Arial" w:hAnsi="Arial" w:cs="Arial"/>
        </w:rPr>
        <w:t xml:space="preserve"> </w:t>
      </w:r>
    </w:p>
    <w:p w14:paraId="2C92FAEC" w14:textId="728E8DB0" w:rsidR="008A07A0" w:rsidRDefault="008A07A0" w:rsidP="008A07A0">
      <w:pPr>
        <w:rPr>
          <w:rFonts w:ascii="Arial" w:hAnsi="Arial" w:cs="Arial"/>
        </w:rPr>
      </w:pPr>
      <w:r w:rsidRPr="00055657">
        <w:rPr>
          <w:rFonts w:ascii="Arial" w:hAnsi="Arial" w:cs="Arial"/>
        </w:rPr>
        <w:t xml:space="preserve">Please provide as much detail as possible on the referral form as this will inform our allocation process and advocacy work. </w:t>
      </w:r>
      <w:r w:rsidR="00ED6327">
        <w:rPr>
          <w:rFonts w:ascii="Arial" w:hAnsi="Arial" w:cs="Arial"/>
        </w:rPr>
        <w:t>T</w:t>
      </w:r>
      <w:r w:rsidRPr="00055657">
        <w:rPr>
          <w:rFonts w:ascii="Arial" w:hAnsi="Arial" w:cs="Arial"/>
        </w:rPr>
        <w:t>his</w:t>
      </w:r>
      <w:r w:rsidR="00ED6327">
        <w:rPr>
          <w:rFonts w:ascii="Arial" w:hAnsi="Arial" w:cs="Arial"/>
        </w:rPr>
        <w:t xml:space="preserve"> should</w:t>
      </w:r>
      <w:r w:rsidRPr="00055657">
        <w:rPr>
          <w:rFonts w:ascii="Arial" w:hAnsi="Arial" w:cs="Arial"/>
        </w:rPr>
        <w:t xml:space="preserve"> include significant meeting dates, information on any access needs or communication approaches and relevant religious, cultural or gender factors. </w:t>
      </w:r>
    </w:p>
    <w:p w14:paraId="1DB10561" w14:textId="77777777" w:rsidR="008A07A0" w:rsidRPr="00FD1043" w:rsidRDefault="008A07A0" w:rsidP="008A07A0">
      <w:pPr>
        <w:rPr>
          <w:rFonts w:ascii="Arial" w:hAnsi="Arial" w:cs="Arial"/>
        </w:rPr>
      </w:pPr>
      <w:r w:rsidRPr="00FD1043">
        <w:rPr>
          <w:rFonts w:ascii="Arial" w:hAnsi="Arial" w:cs="Arial"/>
        </w:rPr>
        <w:t xml:space="preserve">If required and where appropriate we will follow up with the referrer to seek clarity and/or obtain further information. Please note this may cause a delay in actioning the referral. </w:t>
      </w:r>
    </w:p>
    <w:p w14:paraId="2B282551" w14:textId="363419AF" w:rsidR="008A07A0" w:rsidRPr="00FD1043" w:rsidRDefault="008A07A0" w:rsidP="008A07A0">
      <w:pPr>
        <w:rPr>
          <w:rFonts w:ascii="Arial" w:hAnsi="Arial" w:cs="Arial"/>
        </w:rPr>
      </w:pPr>
      <w:r w:rsidRPr="00FD1043">
        <w:rPr>
          <w:rFonts w:ascii="Arial" w:hAnsi="Arial" w:cs="Arial"/>
        </w:rPr>
        <w:t xml:space="preserve">If you are uncertain as to whether a person is entitled to an </w:t>
      </w:r>
      <w:proofErr w:type="gramStart"/>
      <w:r w:rsidRPr="00FD1043">
        <w:rPr>
          <w:rFonts w:ascii="Arial" w:hAnsi="Arial" w:cs="Arial"/>
        </w:rPr>
        <w:t>advocate</w:t>
      </w:r>
      <w:proofErr w:type="gramEnd"/>
      <w:r w:rsidRPr="00FD1043">
        <w:rPr>
          <w:rFonts w:ascii="Arial" w:hAnsi="Arial" w:cs="Arial"/>
        </w:rPr>
        <w:t xml:space="preserve"> please contact the duty advocate on </w:t>
      </w:r>
      <w:r w:rsidRPr="00ED6327">
        <w:rPr>
          <w:rFonts w:ascii="Arial" w:hAnsi="Arial" w:cs="Arial"/>
          <w:b/>
          <w:bCs/>
        </w:rPr>
        <w:t>01925 246 888</w:t>
      </w:r>
      <w:r w:rsidRPr="00FD1043">
        <w:rPr>
          <w:rFonts w:ascii="Arial" w:hAnsi="Arial" w:cs="Arial"/>
        </w:rPr>
        <w:t xml:space="preserve"> to discuss further. </w:t>
      </w:r>
    </w:p>
    <w:p w14:paraId="3E2C6E6A" w14:textId="73A09853" w:rsidR="008A07A0" w:rsidRPr="00FD1043" w:rsidRDefault="008A07A0" w:rsidP="008A07A0">
      <w:pPr>
        <w:rPr>
          <w:rFonts w:ascii="Arial" w:hAnsi="Arial" w:cs="Arial"/>
        </w:rPr>
      </w:pPr>
      <w:r w:rsidRPr="00FD1043">
        <w:rPr>
          <w:rFonts w:ascii="Arial" w:hAnsi="Arial" w:cs="Arial"/>
        </w:rPr>
        <w:t>Referrals should be sent via email to</w:t>
      </w:r>
      <w:r>
        <w:rPr>
          <w:rFonts w:ascii="Arial" w:hAnsi="Arial" w:cs="Arial"/>
        </w:rPr>
        <w:t xml:space="preserve"> </w:t>
      </w:r>
      <w:hyperlink r:id="rId9" w:history="1">
        <w:r w:rsidRPr="001C10A7">
          <w:rPr>
            <w:rStyle w:val="Hyperlink"/>
            <w:rFonts w:ascii="Arial" w:hAnsi="Arial" w:cs="Arial"/>
          </w:rPr>
          <w:t>referral@advocacyhub.org.uk</w:t>
        </w:r>
      </w:hyperlink>
      <w:r w:rsidRPr="00FD1043">
        <w:rPr>
          <w:rFonts w:ascii="Arial" w:hAnsi="Arial" w:cs="Arial"/>
        </w:rPr>
        <w:t>.</w:t>
      </w:r>
    </w:p>
    <w:p w14:paraId="4994B81E" w14:textId="77777777" w:rsidR="008A07A0" w:rsidRPr="00FD1043" w:rsidRDefault="008A07A0" w:rsidP="008A07A0">
      <w:pPr>
        <w:rPr>
          <w:rFonts w:ascii="Arial" w:hAnsi="Arial" w:cs="Arial"/>
        </w:rPr>
      </w:pPr>
      <w:r w:rsidRPr="00FD1043">
        <w:rPr>
          <w:rFonts w:ascii="Arial" w:hAnsi="Arial" w:cs="Arial"/>
        </w:rPr>
        <w:t xml:space="preserve">The referrer will receive an immediate automated response confirming that the referral has been received. </w:t>
      </w:r>
    </w:p>
    <w:p w14:paraId="12ABDC65" w14:textId="77777777" w:rsidR="009A591C" w:rsidRDefault="009A591C" w:rsidP="008A07A0">
      <w:pPr>
        <w:rPr>
          <w:rFonts w:ascii="Arial" w:hAnsi="Arial" w:cs="Arial"/>
        </w:rPr>
      </w:pPr>
    </w:p>
    <w:p w14:paraId="43024C4B" w14:textId="77777777" w:rsidR="009A591C" w:rsidRPr="00FD1043" w:rsidRDefault="009A591C" w:rsidP="008A07A0">
      <w:pPr>
        <w:rPr>
          <w:rFonts w:ascii="Arial" w:hAnsi="Arial" w:cs="Arial"/>
        </w:rPr>
      </w:pPr>
    </w:p>
    <w:p w14:paraId="71550700" w14:textId="77777777" w:rsidR="00FE19F1" w:rsidRPr="00FE19F1" w:rsidRDefault="00FE19F1" w:rsidP="00FE19F1">
      <w:pPr>
        <w:rPr>
          <w:rFonts w:ascii="Arial" w:hAnsi="Arial" w:cs="Arial"/>
          <w:b/>
          <w:bCs/>
        </w:rPr>
      </w:pPr>
      <w:r w:rsidRPr="00FE19F1">
        <w:rPr>
          <w:rFonts w:ascii="Arial" w:hAnsi="Arial" w:cs="Arial"/>
          <w:b/>
          <w:bCs/>
        </w:rPr>
        <w:t>Geography</w:t>
      </w:r>
    </w:p>
    <w:p w14:paraId="37764339" w14:textId="09CDF4CF" w:rsidR="00FE19F1" w:rsidRPr="00FD1043" w:rsidRDefault="00FE19F1" w:rsidP="00FE19F1">
      <w:pPr>
        <w:rPr>
          <w:rFonts w:ascii="Arial" w:hAnsi="Arial" w:cs="Arial"/>
        </w:rPr>
      </w:pPr>
      <w:r w:rsidRPr="00FD1043">
        <w:rPr>
          <w:rFonts w:ascii="Arial" w:hAnsi="Arial" w:cs="Arial"/>
        </w:rPr>
        <w:t xml:space="preserve">We will provide </w:t>
      </w:r>
      <w:r>
        <w:rPr>
          <w:rFonts w:ascii="Arial" w:hAnsi="Arial" w:cs="Arial"/>
        </w:rPr>
        <w:t xml:space="preserve">the </w:t>
      </w:r>
      <w:r w:rsidR="00E07C20">
        <w:rPr>
          <w:rFonts w:ascii="Arial" w:hAnsi="Arial" w:cs="Arial"/>
        </w:rPr>
        <w:t>Care Act</w:t>
      </w:r>
      <w:r>
        <w:rPr>
          <w:rFonts w:ascii="Arial" w:hAnsi="Arial" w:cs="Arial"/>
        </w:rPr>
        <w:t xml:space="preserve"> role</w:t>
      </w:r>
      <w:r w:rsidRPr="00FD1043">
        <w:rPr>
          <w:rFonts w:ascii="Arial" w:hAnsi="Arial" w:cs="Arial"/>
        </w:rPr>
        <w:t xml:space="preserve"> where Warrington Borough Council is </w:t>
      </w:r>
      <w:r>
        <w:rPr>
          <w:rFonts w:ascii="Arial" w:hAnsi="Arial" w:cs="Arial"/>
        </w:rPr>
        <w:t xml:space="preserve">responsible for a </w:t>
      </w:r>
      <w:r w:rsidRPr="00FD1043">
        <w:rPr>
          <w:rFonts w:ascii="Arial" w:hAnsi="Arial" w:cs="Arial"/>
        </w:rPr>
        <w:t>person’s care and support within a 12-mile radi</w:t>
      </w:r>
      <w:r>
        <w:rPr>
          <w:rFonts w:ascii="Arial" w:hAnsi="Arial" w:cs="Arial"/>
        </w:rPr>
        <w:t>us</w:t>
      </w:r>
      <w:r w:rsidRPr="00FD1043">
        <w:rPr>
          <w:rFonts w:ascii="Arial" w:hAnsi="Arial" w:cs="Arial"/>
        </w:rPr>
        <w:t xml:space="preserve"> of Warrington city centre. </w:t>
      </w:r>
    </w:p>
    <w:p w14:paraId="57169B02" w14:textId="5AC753F0" w:rsidR="008A07A0" w:rsidRPr="00FD1043" w:rsidRDefault="008A07A0">
      <w:pPr>
        <w:rPr>
          <w:rFonts w:ascii="Arial" w:hAnsi="Arial" w:cs="Arial"/>
        </w:rPr>
      </w:pPr>
    </w:p>
    <w:sectPr w:rsidR="008A07A0" w:rsidRPr="00FD1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0FC9"/>
    <w:multiLevelType w:val="hybridMultilevel"/>
    <w:tmpl w:val="67E2C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B78D6"/>
    <w:multiLevelType w:val="hybridMultilevel"/>
    <w:tmpl w:val="FEE66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B18F0"/>
    <w:multiLevelType w:val="hybridMultilevel"/>
    <w:tmpl w:val="199CB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B0EB2"/>
    <w:multiLevelType w:val="hybridMultilevel"/>
    <w:tmpl w:val="4B2E7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93A51"/>
    <w:multiLevelType w:val="hybridMultilevel"/>
    <w:tmpl w:val="F3E4F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474D4"/>
    <w:multiLevelType w:val="hybridMultilevel"/>
    <w:tmpl w:val="79FC5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538239">
    <w:abstractNumId w:val="1"/>
  </w:num>
  <w:num w:numId="2" w16cid:durableId="1129595127">
    <w:abstractNumId w:val="2"/>
  </w:num>
  <w:num w:numId="3" w16cid:durableId="1324698256">
    <w:abstractNumId w:val="4"/>
  </w:num>
  <w:num w:numId="4" w16cid:durableId="1786072262">
    <w:abstractNumId w:val="5"/>
  </w:num>
  <w:num w:numId="5" w16cid:durableId="1989823683">
    <w:abstractNumId w:val="0"/>
  </w:num>
  <w:num w:numId="6" w16cid:durableId="57216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8C"/>
    <w:rsid w:val="00007D98"/>
    <w:rsid w:val="0003468D"/>
    <w:rsid w:val="000503E7"/>
    <w:rsid w:val="00062567"/>
    <w:rsid w:val="000B381B"/>
    <w:rsid w:val="000C09B0"/>
    <w:rsid w:val="00153BDD"/>
    <w:rsid w:val="001E14AF"/>
    <w:rsid w:val="0022352E"/>
    <w:rsid w:val="003246AC"/>
    <w:rsid w:val="004024B1"/>
    <w:rsid w:val="004217E6"/>
    <w:rsid w:val="00472175"/>
    <w:rsid w:val="004C780E"/>
    <w:rsid w:val="0052588B"/>
    <w:rsid w:val="0059489A"/>
    <w:rsid w:val="005D3082"/>
    <w:rsid w:val="00675108"/>
    <w:rsid w:val="0069799E"/>
    <w:rsid w:val="006A50EB"/>
    <w:rsid w:val="006B1F4B"/>
    <w:rsid w:val="00765ABE"/>
    <w:rsid w:val="007A3ACC"/>
    <w:rsid w:val="007E4847"/>
    <w:rsid w:val="0081694D"/>
    <w:rsid w:val="00852331"/>
    <w:rsid w:val="00853AE4"/>
    <w:rsid w:val="0089589C"/>
    <w:rsid w:val="008A07A0"/>
    <w:rsid w:val="008A3D9E"/>
    <w:rsid w:val="008C3CE4"/>
    <w:rsid w:val="00983F8C"/>
    <w:rsid w:val="009A591C"/>
    <w:rsid w:val="009D0E1F"/>
    <w:rsid w:val="00A04BDE"/>
    <w:rsid w:val="00A403DE"/>
    <w:rsid w:val="00A523F7"/>
    <w:rsid w:val="00AD5326"/>
    <w:rsid w:val="00B07AA5"/>
    <w:rsid w:val="00B51364"/>
    <w:rsid w:val="00B768E7"/>
    <w:rsid w:val="00B82044"/>
    <w:rsid w:val="00B83693"/>
    <w:rsid w:val="00BB1CB5"/>
    <w:rsid w:val="00BB2DF9"/>
    <w:rsid w:val="00C04E46"/>
    <w:rsid w:val="00C61EFC"/>
    <w:rsid w:val="00CD29E2"/>
    <w:rsid w:val="00CD5CE1"/>
    <w:rsid w:val="00D201FD"/>
    <w:rsid w:val="00D65E8A"/>
    <w:rsid w:val="00DD127D"/>
    <w:rsid w:val="00E07C20"/>
    <w:rsid w:val="00E14BA9"/>
    <w:rsid w:val="00E47256"/>
    <w:rsid w:val="00ED4A69"/>
    <w:rsid w:val="00ED6327"/>
    <w:rsid w:val="00F13EA1"/>
    <w:rsid w:val="00F23263"/>
    <w:rsid w:val="00F57E36"/>
    <w:rsid w:val="00F95F8C"/>
    <w:rsid w:val="00FB79DA"/>
    <w:rsid w:val="00FC1609"/>
    <w:rsid w:val="00FD1043"/>
    <w:rsid w:val="00F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A024E"/>
  <w15:chartTrackingRefBased/>
  <w15:docId w15:val="{BF0EE970-633D-4119-84FE-FC8AAD90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F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1E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ferral@advocacyhub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7b033-e2f0-499c-b53e-24cb38acc523" xsi:nil="true"/>
    <lcf76f155ced4ddcb4097134ff3c332f xmlns="796bf6c7-4e31-4fb9-b727-589cb2977d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C6FD977D35646A4BA8676073F1BB2" ma:contentTypeVersion="12" ma:contentTypeDescription="Create a new document." ma:contentTypeScope="" ma:versionID="599f2fc50dd184358fb9d237df7e9fca">
  <xsd:schema xmlns:xsd="http://www.w3.org/2001/XMLSchema" xmlns:xs="http://www.w3.org/2001/XMLSchema" xmlns:p="http://schemas.microsoft.com/office/2006/metadata/properties" xmlns:ns2="796bf6c7-4e31-4fb9-b727-589cb2977dd5" xmlns:ns3="84e7b033-e2f0-499c-b53e-24cb38acc523" targetNamespace="http://schemas.microsoft.com/office/2006/metadata/properties" ma:root="true" ma:fieldsID="f2e7d8f19f67ba5822677c5967fbed4e" ns2:_="" ns3:_="">
    <xsd:import namespace="796bf6c7-4e31-4fb9-b727-589cb2977dd5"/>
    <xsd:import namespace="84e7b033-e2f0-499c-b53e-24cb38acc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bf6c7-4e31-4fb9-b727-589cb2977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3858ba-e9ea-438f-b427-4d898c0e7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7b033-e2f0-499c-b53e-24cb38acc5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b48d44-3b98-4c00-8747-4221f125f8b9}" ma:internalName="TaxCatchAll" ma:showField="CatchAllData" ma:web="84e7b033-e2f0-499c-b53e-24cb38acc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1303BF-9073-497F-B467-6990DB57BE6D}">
  <ds:schemaRefs>
    <ds:schemaRef ds:uri="http://schemas.microsoft.com/office/2006/metadata/properties"/>
    <ds:schemaRef ds:uri="http://schemas.microsoft.com/office/infopath/2007/PartnerControls"/>
    <ds:schemaRef ds:uri="84e7b033-e2f0-499c-b53e-24cb38acc523"/>
    <ds:schemaRef ds:uri="796bf6c7-4e31-4fb9-b727-589cb2977dd5"/>
  </ds:schemaRefs>
</ds:datastoreItem>
</file>

<file path=customXml/itemProps2.xml><?xml version="1.0" encoding="utf-8"?>
<ds:datastoreItem xmlns:ds="http://schemas.openxmlformats.org/officeDocument/2006/customXml" ds:itemID="{3E51D761-578B-47EB-B386-44CA98E5A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39D61-9563-4551-A315-35E93BFAD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bf6c7-4e31-4fb9-b727-589cb2977dd5"/>
    <ds:schemaRef ds:uri="84e7b033-e2f0-499c-b53e-24cb38acc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Betteridge</dc:creator>
  <cp:keywords/>
  <dc:description/>
  <cp:lastModifiedBy>Cathy Wood</cp:lastModifiedBy>
  <cp:revision>24</cp:revision>
  <dcterms:created xsi:type="dcterms:W3CDTF">2026-04-21T09:58:00Z</dcterms:created>
  <dcterms:modified xsi:type="dcterms:W3CDTF">2026-05-20T15:25:00Z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0x010100BA1C6FD977D35646A4BA8676073F1BB2</vt:lpwstr>
  </property>
  <property fmtid="{D5CDD505-2E9C-101B-9397-08002B2CF9AE}" pid="3" name="MediaServiceImageTags">
    <vt:lpwstr/>
  </property>
</Properties>
</file>