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9430" w14:textId="760B7FB4" w:rsidR="002D5FEE" w:rsidRDefault="00870B2A" w:rsidP="00866C6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22F22D0" wp14:editId="2C07EFD3">
            <wp:simplePos x="0" y="0"/>
            <wp:positionH relativeFrom="column">
              <wp:posOffset>5556250</wp:posOffset>
            </wp:positionH>
            <wp:positionV relativeFrom="paragraph">
              <wp:posOffset>-749300</wp:posOffset>
            </wp:positionV>
            <wp:extent cx="1111250" cy="1111250"/>
            <wp:effectExtent l="0" t="0" r="0" b="0"/>
            <wp:wrapNone/>
            <wp:docPr id="18918555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55515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971">
        <w:rPr>
          <w:rFonts w:ascii="Arial" w:hAnsi="Arial" w:cs="Arial"/>
          <w:b/>
          <w:noProof/>
          <w:sz w:val="32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28D1D" wp14:editId="0E3393C9">
                <wp:simplePos x="0" y="0"/>
                <wp:positionH relativeFrom="column">
                  <wp:posOffset>-574675</wp:posOffset>
                </wp:positionH>
                <wp:positionV relativeFrom="paragraph">
                  <wp:posOffset>-374015</wp:posOffset>
                </wp:positionV>
                <wp:extent cx="4448175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476250"/>
                        </a:xfrm>
                        <a:prstGeom prst="round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B94A7" w14:textId="6F885AAC" w:rsidR="000045B9" w:rsidRPr="00B73F2D" w:rsidRDefault="008F37A3" w:rsidP="008F37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 xml:space="preserve">         </w:t>
                            </w:r>
                            <w:r w:rsidR="000045B9" w:rsidRPr="00B73F2D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Guidance</w:t>
                            </w:r>
                            <w:r w:rsidR="000045B9" w:rsidRPr="00E762F0"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E82107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 xml:space="preserve">Notes for </w:t>
                            </w:r>
                            <w:r w:rsidR="00421971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1.2 Rep</w:t>
                            </w:r>
                            <w:r w:rsidR="001B24A2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 xml:space="preserve"> Referrals</w:t>
                            </w:r>
                          </w:p>
                          <w:p w14:paraId="1C22B67E" w14:textId="77777777" w:rsidR="000045B9" w:rsidRDefault="00004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28D1D" id="Text Box 1" o:spid="_x0000_s1026" style="position:absolute;margin-left:-45.25pt;margin-top:-29.45pt;width:350.2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" filled="f" stroked="f" strokeweight="2.25pt">
                <v:textbox>
                  <w:txbxContent>
                    <w:p w14:paraId="6B1B94A7" w14:textId="6F885AAC" w:rsidR="000045B9" w:rsidRPr="00B73F2D" w:rsidRDefault="008F37A3" w:rsidP="008F37A3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 xml:space="preserve">         </w:t>
                      </w:r>
                      <w:r w:rsidR="000045B9" w:rsidRPr="00B73F2D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Guidance</w:t>
                      </w:r>
                      <w:r w:rsidR="000045B9" w:rsidRPr="00E762F0"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 xml:space="preserve"> </w:t>
                      </w:r>
                      <w:r w:rsidR="00E82107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 xml:space="preserve">Notes for </w:t>
                      </w:r>
                      <w:r w:rsidR="00421971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1.2 Rep</w:t>
                      </w:r>
                      <w:r w:rsidR="001B24A2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 xml:space="preserve"> Referrals</w:t>
                      </w:r>
                    </w:p>
                    <w:p w14:paraId="1C22B67E" w14:textId="77777777" w:rsidR="000045B9" w:rsidRDefault="000045B9"/>
                  </w:txbxContent>
                </v:textbox>
              </v:roundrect>
            </w:pict>
          </mc:Fallback>
        </mc:AlternateContent>
      </w:r>
    </w:p>
    <w:p w14:paraId="129CFFA4" w14:textId="77777777" w:rsidR="00870B2A" w:rsidRDefault="00870B2A" w:rsidP="00866C6F">
      <w:pPr>
        <w:rPr>
          <w:rFonts w:ascii="Arial" w:hAnsi="Arial" w:cs="Arial"/>
          <w:sz w:val="24"/>
          <w:szCs w:val="24"/>
        </w:rPr>
      </w:pPr>
    </w:p>
    <w:p w14:paraId="7FF91B07" w14:textId="465A55DE" w:rsidR="0049741A" w:rsidRDefault="000D670D" w:rsidP="00866C6F">
      <w:pPr>
        <w:rPr>
          <w:rFonts w:ascii="Arial" w:hAnsi="Arial" w:cs="Arial"/>
          <w:sz w:val="24"/>
          <w:szCs w:val="24"/>
        </w:rPr>
      </w:pPr>
      <w:r w:rsidRPr="000D670D">
        <w:rPr>
          <w:rFonts w:ascii="Arial" w:hAnsi="Arial" w:cs="Arial"/>
          <w:sz w:val="24"/>
          <w:szCs w:val="24"/>
        </w:rPr>
        <w:t xml:space="preserve">Article 5 of the Human Rights Act states that 'everyone has the right to liberty and security of person. No one shall be deprived of his or her liberty [unless] in accordance with a procedure prescribed in law’. </w:t>
      </w:r>
    </w:p>
    <w:p w14:paraId="62052A4E" w14:textId="7DBBC324" w:rsidR="0049741A" w:rsidRDefault="0049741A" w:rsidP="00866C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the Supreme Court decision of 19 March 2014, the accommodation se</w:t>
      </w:r>
      <w:r w:rsidR="003806F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tings in which a person might be deemed to be deprived of their liberty</w:t>
      </w:r>
      <w:r w:rsidR="003806F9">
        <w:rPr>
          <w:rFonts w:ascii="Arial" w:hAnsi="Arial" w:cs="Arial"/>
          <w:sz w:val="24"/>
          <w:szCs w:val="24"/>
        </w:rPr>
        <w:t xml:space="preserve"> can</w:t>
      </w:r>
      <w:r>
        <w:rPr>
          <w:rFonts w:ascii="Arial" w:hAnsi="Arial" w:cs="Arial"/>
          <w:sz w:val="24"/>
          <w:szCs w:val="24"/>
        </w:rPr>
        <w:t xml:space="preserve"> include</w:t>
      </w:r>
      <w:r w:rsidR="003806F9">
        <w:rPr>
          <w:rFonts w:ascii="Arial" w:hAnsi="Arial" w:cs="Arial"/>
          <w:sz w:val="24"/>
          <w:szCs w:val="24"/>
        </w:rPr>
        <w:t xml:space="preserve"> ‘domestic settings’ such as:</w:t>
      </w:r>
    </w:p>
    <w:p w14:paraId="70CBCD55" w14:textId="6E2F4CCD" w:rsidR="003806F9" w:rsidRDefault="003806F9" w:rsidP="003806F9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Supported housing (where support is provided on a 24/7 basis)</w:t>
      </w:r>
    </w:p>
    <w:p w14:paraId="1818F3DF" w14:textId="58254F7B" w:rsidR="003806F9" w:rsidRPr="008F4F9E" w:rsidRDefault="003806F9" w:rsidP="008F4F9E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8F4F9E">
        <w:rPr>
          <w:rFonts w:ascii="Arial" w:hAnsi="Arial" w:cs="Arial"/>
          <w:sz w:val="24"/>
          <w:szCs w:val="24"/>
        </w:rPr>
        <w:t>Shared lives and adult placement schemes</w:t>
      </w:r>
    </w:p>
    <w:p w14:paraId="531C8F20" w14:textId="7AE8469B" w:rsidR="00871D32" w:rsidRDefault="00871D32" w:rsidP="00251E35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18 residential colleges</w:t>
      </w:r>
    </w:p>
    <w:p w14:paraId="51DF5570" w14:textId="25E161DC" w:rsidR="007270E3" w:rsidRPr="00251E35" w:rsidRDefault="007270E3" w:rsidP="00251E35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respite placements.</w:t>
      </w:r>
    </w:p>
    <w:p w14:paraId="3B488C7D" w14:textId="0CA574D5" w:rsidR="00006FB0" w:rsidRPr="00006FB0" w:rsidRDefault="00006FB0" w:rsidP="00353E3B">
      <w:pPr>
        <w:rPr>
          <w:rFonts w:ascii="Arial" w:hAnsi="Arial" w:cs="Arial"/>
          <w:sz w:val="24"/>
          <w:szCs w:val="24"/>
        </w:rPr>
      </w:pPr>
      <w:r w:rsidRPr="00006FB0">
        <w:rPr>
          <w:rFonts w:ascii="Arial" w:hAnsi="Arial" w:cs="Arial"/>
          <w:sz w:val="24"/>
          <w:szCs w:val="24"/>
        </w:rPr>
        <w:t>In accordance with the Mental Capacity Act 2005, referrals</w:t>
      </w:r>
      <w:r w:rsidR="005F5270">
        <w:rPr>
          <w:rFonts w:ascii="Arial" w:hAnsi="Arial" w:cs="Arial"/>
          <w:sz w:val="24"/>
          <w:szCs w:val="24"/>
        </w:rPr>
        <w:t xml:space="preserve"> for a</w:t>
      </w:r>
      <w:r w:rsidR="004919B8">
        <w:rPr>
          <w:rFonts w:ascii="Arial" w:hAnsi="Arial" w:cs="Arial"/>
          <w:sz w:val="24"/>
          <w:szCs w:val="24"/>
        </w:rPr>
        <w:t xml:space="preserve"> Paid 1.2 Rep can</w:t>
      </w:r>
      <w:r w:rsidRPr="00006FB0">
        <w:rPr>
          <w:rFonts w:ascii="Arial" w:hAnsi="Arial" w:cs="Arial"/>
          <w:sz w:val="24"/>
          <w:szCs w:val="24"/>
        </w:rPr>
        <w:t xml:space="preserve"> be made for individuals in the following circumstances:</w:t>
      </w:r>
    </w:p>
    <w:p w14:paraId="69425F90" w14:textId="14B5F23A" w:rsidR="00006FB0" w:rsidRPr="00006FB0" w:rsidRDefault="00006FB0" w:rsidP="00143B5C">
      <w:pPr>
        <w:pStyle w:val="NoSpacing"/>
        <w:numPr>
          <w:ilvl w:val="0"/>
          <w:numId w:val="17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006FB0">
        <w:rPr>
          <w:rFonts w:ascii="Arial" w:hAnsi="Arial" w:cs="Arial"/>
          <w:sz w:val="24"/>
          <w:szCs w:val="24"/>
        </w:rPr>
        <w:t>The person is aged 1</w:t>
      </w:r>
      <w:r w:rsidR="00EA0EC4">
        <w:rPr>
          <w:rFonts w:ascii="Arial" w:hAnsi="Arial" w:cs="Arial"/>
          <w:sz w:val="24"/>
          <w:szCs w:val="24"/>
        </w:rPr>
        <w:t xml:space="preserve">8 </w:t>
      </w:r>
      <w:r w:rsidRPr="00006FB0">
        <w:rPr>
          <w:rFonts w:ascii="Arial" w:hAnsi="Arial" w:cs="Arial"/>
          <w:sz w:val="24"/>
          <w:szCs w:val="24"/>
        </w:rPr>
        <w:t>or over</w:t>
      </w:r>
      <w:r w:rsidR="00496887">
        <w:rPr>
          <w:rFonts w:ascii="Arial" w:hAnsi="Arial" w:cs="Arial"/>
          <w:sz w:val="24"/>
          <w:szCs w:val="24"/>
        </w:rPr>
        <w:t>.</w:t>
      </w:r>
    </w:p>
    <w:p w14:paraId="1E7219EE" w14:textId="7E4D38DC" w:rsidR="00006FB0" w:rsidRPr="00006FB0" w:rsidRDefault="00006FB0" w:rsidP="00143B5C">
      <w:pPr>
        <w:pStyle w:val="NoSpacing"/>
        <w:numPr>
          <w:ilvl w:val="0"/>
          <w:numId w:val="17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006FB0">
        <w:rPr>
          <w:rFonts w:ascii="Arial" w:hAnsi="Arial" w:cs="Arial"/>
          <w:sz w:val="24"/>
          <w:szCs w:val="24"/>
        </w:rPr>
        <w:t xml:space="preserve">The person to be referred has been assessed as lacking capacity to </w:t>
      </w:r>
      <w:r w:rsidR="00AC2739">
        <w:rPr>
          <w:rFonts w:ascii="Arial" w:hAnsi="Arial" w:cs="Arial"/>
          <w:sz w:val="24"/>
          <w:szCs w:val="24"/>
        </w:rPr>
        <w:t>understand and consent to restrictions that amount to a deprivation of liberty.</w:t>
      </w:r>
    </w:p>
    <w:p w14:paraId="1A598200" w14:textId="16856C85" w:rsidR="00006FB0" w:rsidRPr="00006FB0" w:rsidRDefault="00006FB0" w:rsidP="00143B5C">
      <w:pPr>
        <w:pStyle w:val="NoSpacing"/>
        <w:numPr>
          <w:ilvl w:val="0"/>
          <w:numId w:val="17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006FB0">
        <w:rPr>
          <w:rFonts w:ascii="Arial" w:hAnsi="Arial" w:cs="Arial"/>
          <w:sz w:val="24"/>
          <w:szCs w:val="24"/>
        </w:rPr>
        <w:t>The person does not have a family member or friend who is ‘appropriate to consult</w:t>
      </w:r>
      <w:r w:rsidR="000B7EE1">
        <w:rPr>
          <w:rFonts w:ascii="Arial" w:hAnsi="Arial" w:cs="Arial"/>
          <w:sz w:val="24"/>
          <w:szCs w:val="24"/>
        </w:rPr>
        <w:t>’.</w:t>
      </w:r>
    </w:p>
    <w:p w14:paraId="16441F56" w14:textId="77777777" w:rsidR="00006FB0" w:rsidRPr="00006FB0" w:rsidRDefault="00006FB0" w:rsidP="00143B5C">
      <w:pPr>
        <w:pStyle w:val="NoSpacing"/>
        <w:numPr>
          <w:ilvl w:val="0"/>
          <w:numId w:val="17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006FB0">
        <w:rPr>
          <w:rFonts w:ascii="Arial" w:hAnsi="Arial" w:cs="Arial"/>
          <w:sz w:val="24"/>
          <w:szCs w:val="24"/>
        </w:rPr>
        <w:t xml:space="preserve">There is no Court of Protection appointed Deputy who continues to act on the person’s behalf in relation to health and welfare.  </w:t>
      </w:r>
    </w:p>
    <w:p w14:paraId="5A16FFBB" w14:textId="77777777" w:rsidR="00006FB0" w:rsidRPr="00006FB0" w:rsidRDefault="00006FB0" w:rsidP="00006FB0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3F5D925C" w14:textId="77777777" w:rsidR="00006FB0" w:rsidRPr="00143B5C" w:rsidRDefault="00143B5C" w:rsidP="00006FB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When a person is not ‘appropriate to consult’</w:t>
      </w:r>
    </w:p>
    <w:p w14:paraId="03C49CB5" w14:textId="77777777" w:rsidR="00006FB0" w:rsidRPr="00143B5C" w:rsidRDefault="00006FB0" w:rsidP="00006FB0">
      <w:pPr>
        <w:pStyle w:val="NoSpacing"/>
        <w:ind w:left="720"/>
        <w:rPr>
          <w:rFonts w:ascii="Arial" w:hAnsi="Arial" w:cs="Arial"/>
          <w:sz w:val="12"/>
          <w:szCs w:val="24"/>
        </w:rPr>
      </w:pPr>
    </w:p>
    <w:p w14:paraId="28BC7198" w14:textId="50231E77" w:rsidR="00006FB0" w:rsidRPr="00006FB0" w:rsidRDefault="00006FB0" w:rsidP="00143B5C">
      <w:pPr>
        <w:pStyle w:val="NoSpacing"/>
        <w:numPr>
          <w:ilvl w:val="0"/>
          <w:numId w:val="19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006FB0">
        <w:rPr>
          <w:rFonts w:ascii="Arial" w:hAnsi="Arial" w:cs="Arial"/>
          <w:sz w:val="24"/>
          <w:szCs w:val="24"/>
        </w:rPr>
        <w:t>A friend or family member whom it is not practical or appropriate to consult, for example a family member living a long distance away or having limited contact with the person lacking capacity</w:t>
      </w:r>
    </w:p>
    <w:p w14:paraId="605EA3A4" w14:textId="77777777" w:rsidR="00006FB0" w:rsidRPr="00006FB0" w:rsidRDefault="00006FB0" w:rsidP="00143B5C">
      <w:pPr>
        <w:pStyle w:val="NoSpacing"/>
        <w:numPr>
          <w:ilvl w:val="0"/>
          <w:numId w:val="19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006FB0">
        <w:rPr>
          <w:rFonts w:ascii="Arial" w:hAnsi="Arial" w:cs="Arial"/>
          <w:sz w:val="24"/>
          <w:szCs w:val="24"/>
        </w:rPr>
        <w:t>Someone who does not want to get involved</w:t>
      </w:r>
    </w:p>
    <w:p w14:paraId="29B8B919" w14:textId="77777777" w:rsidR="00006FB0" w:rsidRPr="00006FB0" w:rsidRDefault="00006FB0" w:rsidP="00143B5C">
      <w:pPr>
        <w:pStyle w:val="NoSpacing"/>
        <w:numPr>
          <w:ilvl w:val="0"/>
          <w:numId w:val="19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006FB0">
        <w:rPr>
          <w:rFonts w:ascii="Arial" w:hAnsi="Arial" w:cs="Arial"/>
          <w:sz w:val="24"/>
          <w:szCs w:val="24"/>
        </w:rPr>
        <w:t>Someone who is paid to look after the individual in a professional role</w:t>
      </w:r>
    </w:p>
    <w:p w14:paraId="0FEFCDB6" w14:textId="77777777" w:rsidR="00143B5C" w:rsidRDefault="00143B5C" w:rsidP="00006FB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DB381A6" w14:textId="77777777" w:rsidR="00006FB0" w:rsidRPr="00143B5C" w:rsidRDefault="00143B5C" w:rsidP="00006FB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is ‘appropriate to consult’</w:t>
      </w:r>
    </w:p>
    <w:p w14:paraId="6A81C8E5" w14:textId="77777777" w:rsidR="00006FB0" w:rsidRPr="00143B5C" w:rsidRDefault="00006FB0" w:rsidP="00006FB0">
      <w:pPr>
        <w:pStyle w:val="NoSpacing"/>
        <w:ind w:left="720"/>
        <w:rPr>
          <w:rFonts w:ascii="Arial" w:hAnsi="Arial" w:cs="Arial"/>
          <w:sz w:val="12"/>
          <w:szCs w:val="24"/>
          <w:u w:val="single"/>
        </w:rPr>
      </w:pPr>
    </w:p>
    <w:p w14:paraId="1004E252" w14:textId="77777777" w:rsidR="00006FB0" w:rsidRPr="00006FB0" w:rsidRDefault="00006FB0" w:rsidP="00143B5C">
      <w:pPr>
        <w:pStyle w:val="NoSpacing"/>
        <w:numPr>
          <w:ilvl w:val="0"/>
          <w:numId w:val="20"/>
        </w:numPr>
        <w:spacing w:after="120"/>
        <w:ind w:left="714" w:hanging="357"/>
        <w:rPr>
          <w:rFonts w:ascii="Arial" w:hAnsi="Arial" w:cs="Arial"/>
          <w:sz w:val="24"/>
          <w:szCs w:val="24"/>
          <w:u w:val="single"/>
        </w:rPr>
      </w:pPr>
      <w:r w:rsidRPr="00006FB0">
        <w:rPr>
          <w:rFonts w:ascii="Arial" w:hAnsi="Arial" w:cs="Arial"/>
          <w:sz w:val="24"/>
          <w:szCs w:val="24"/>
        </w:rPr>
        <w:t>Any friend or relative, who is not paid to look after the person lacking capacity, who has an interest in their welfare</w:t>
      </w:r>
    </w:p>
    <w:p w14:paraId="266B1133" w14:textId="6F009728" w:rsidR="00006FB0" w:rsidRPr="00006FB0" w:rsidRDefault="00143B5C" w:rsidP="00143B5C">
      <w:pPr>
        <w:pStyle w:val="NoSpacing"/>
        <w:spacing w:after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006FB0" w:rsidRPr="00006FB0">
        <w:rPr>
          <w:rFonts w:ascii="Arial" w:hAnsi="Arial" w:cs="Arial"/>
          <w:sz w:val="24"/>
          <w:szCs w:val="24"/>
        </w:rPr>
        <w:t xml:space="preserve">a family disagrees with a decision maker’s proposed action, this is not grounds for concluding that there is nobody whose views are relevant to the decision and is not in itself a valid reason to make a referral </w:t>
      </w:r>
      <w:r w:rsidR="009916E2">
        <w:rPr>
          <w:rFonts w:ascii="Arial" w:hAnsi="Arial" w:cs="Arial"/>
          <w:sz w:val="24"/>
          <w:szCs w:val="24"/>
        </w:rPr>
        <w:t>for a</w:t>
      </w:r>
      <w:r w:rsidR="00881530">
        <w:rPr>
          <w:rFonts w:ascii="Arial" w:hAnsi="Arial" w:cs="Arial"/>
          <w:sz w:val="24"/>
          <w:szCs w:val="24"/>
        </w:rPr>
        <w:t>n advocate</w:t>
      </w:r>
      <w:r w:rsidR="00006FB0" w:rsidRPr="00006FB0">
        <w:rPr>
          <w:rFonts w:ascii="Arial" w:hAnsi="Arial" w:cs="Arial"/>
          <w:sz w:val="24"/>
          <w:szCs w:val="24"/>
        </w:rPr>
        <w:t xml:space="preserve"> (Mental Capacity Act Code of Practice Chapter 10.79).</w:t>
      </w:r>
    </w:p>
    <w:p w14:paraId="747F87D9" w14:textId="77777777" w:rsidR="00006FB0" w:rsidRDefault="00006FB0" w:rsidP="00006FB0">
      <w:pPr>
        <w:pStyle w:val="NoSpacing"/>
        <w:rPr>
          <w:sz w:val="24"/>
          <w:szCs w:val="24"/>
        </w:rPr>
      </w:pPr>
    </w:p>
    <w:p w14:paraId="5B8B841F" w14:textId="77777777" w:rsidR="00C35F55" w:rsidRDefault="00C35F55" w:rsidP="00006FB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6A7F76" w14:textId="77777777" w:rsidR="000A0604" w:rsidRDefault="000A0604" w:rsidP="00006FB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1068275" w14:textId="77777777" w:rsidR="000A0604" w:rsidRDefault="000A0604" w:rsidP="00006FB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06DFA03" w14:textId="77777777" w:rsidR="008F4F9E" w:rsidRDefault="008F4F9E" w:rsidP="00006FB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9AB71EF" w14:textId="35837D62" w:rsidR="003D5DEE" w:rsidRDefault="003D5DEE" w:rsidP="00006FB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The role of the 1.2 Rep</w:t>
      </w:r>
    </w:p>
    <w:p w14:paraId="25F7A410" w14:textId="77777777" w:rsidR="003D5DEE" w:rsidRDefault="003D5DEE" w:rsidP="00006FB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CCFA82C" w14:textId="77777777" w:rsidR="003D5DEE" w:rsidRPr="0073470E" w:rsidRDefault="003D5DEE" w:rsidP="003D5DE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3470E">
        <w:rPr>
          <w:rFonts w:ascii="Arial" w:eastAsia="Times New Roman" w:hAnsi="Arial" w:cs="Arial"/>
          <w:sz w:val="24"/>
          <w:szCs w:val="24"/>
          <w:lang w:eastAsia="en-GB"/>
        </w:rPr>
        <w:t>The 1.2 Representative will:</w:t>
      </w:r>
    </w:p>
    <w:p w14:paraId="657367C4" w14:textId="77777777" w:rsidR="003D5DEE" w:rsidRPr="007E1266" w:rsidRDefault="003D5DEE" w:rsidP="003D5D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1266">
        <w:rPr>
          <w:rFonts w:ascii="Arial" w:eastAsia="Times New Roman" w:hAnsi="Arial" w:cs="Arial"/>
          <w:sz w:val="24"/>
          <w:szCs w:val="24"/>
          <w:lang w:eastAsia="en-GB"/>
        </w:rPr>
        <w:t>Complete a Court of Protection Witness Statement (form COP24)</w:t>
      </w:r>
    </w:p>
    <w:p w14:paraId="1760A47F" w14:textId="2F21054F" w:rsidR="003D5DEE" w:rsidRPr="007E1266" w:rsidRDefault="003D5DEE" w:rsidP="003D5D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3470E">
        <w:rPr>
          <w:rFonts w:ascii="Arial" w:eastAsia="Times New Roman" w:hAnsi="Arial" w:cs="Arial"/>
          <w:sz w:val="24"/>
          <w:szCs w:val="24"/>
          <w:lang w:eastAsia="en-GB"/>
        </w:rPr>
        <w:t>Visit the person deprived of their liberty regularly</w:t>
      </w:r>
      <w:r w:rsidR="001B004E">
        <w:rPr>
          <w:rFonts w:ascii="Arial" w:eastAsia="Times New Roman" w:hAnsi="Arial" w:cs="Arial"/>
          <w:sz w:val="24"/>
          <w:szCs w:val="24"/>
          <w:lang w:eastAsia="en-GB"/>
        </w:rPr>
        <w:t xml:space="preserve"> (as determined </w:t>
      </w:r>
      <w:r w:rsidR="00C91CEA">
        <w:rPr>
          <w:rFonts w:ascii="Arial" w:eastAsia="Times New Roman" w:hAnsi="Arial" w:cs="Arial"/>
          <w:sz w:val="24"/>
          <w:szCs w:val="24"/>
          <w:lang w:eastAsia="en-GB"/>
        </w:rPr>
        <w:t>by Court or in agreement with the Local Authority)</w:t>
      </w:r>
    </w:p>
    <w:p w14:paraId="71934AE4" w14:textId="77777777" w:rsidR="003D5DEE" w:rsidRPr="0073470E" w:rsidRDefault="003D5DEE" w:rsidP="003D5D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1266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73470E">
        <w:rPr>
          <w:rFonts w:ascii="Arial" w:eastAsia="Times New Roman" w:hAnsi="Arial" w:cs="Arial"/>
          <w:sz w:val="24"/>
          <w:szCs w:val="24"/>
          <w:lang w:eastAsia="en-GB"/>
        </w:rPr>
        <w:t>heck that the treatment and care provided is the least restrictive of their basic rights and freedom</w:t>
      </w:r>
    </w:p>
    <w:p w14:paraId="3AACF3DB" w14:textId="77777777" w:rsidR="003D5DEE" w:rsidRPr="0073470E" w:rsidRDefault="003D5DEE" w:rsidP="003D5D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E1266">
        <w:rPr>
          <w:rFonts w:ascii="Arial" w:eastAsia="Times New Roman" w:hAnsi="Arial" w:cs="Arial"/>
          <w:sz w:val="24"/>
          <w:szCs w:val="24"/>
          <w:lang w:eastAsia="en-GB"/>
        </w:rPr>
        <w:t>As far as possible h</w:t>
      </w:r>
      <w:r w:rsidRPr="0073470E">
        <w:rPr>
          <w:rFonts w:ascii="Arial" w:eastAsia="Times New Roman" w:hAnsi="Arial" w:cs="Arial"/>
          <w:sz w:val="24"/>
          <w:szCs w:val="24"/>
          <w:lang w:eastAsia="en-GB"/>
        </w:rPr>
        <w:t>elp the person to understand their authorisation</w:t>
      </w:r>
      <w:r w:rsidRPr="007E1266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73470E">
        <w:rPr>
          <w:rFonts w:ascii="Arial" w:eastAsia="Times New Roman" w:hAnsi="Arial" w:cs="Arial"/>
          <w:sz w:val="24"/>
          <w:szCs w:val="24"/>
          <w:lang w:eastAsia="en-GB"/>
        </w:rPr>
        <w:t>how it affects them</w:t>
      </w:r>
      <w:r w:rsidRPr="007E1266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73470E">
        <w:rPr>
          <w:rFonts w:ascii="Arial" w:eastAsia="Times New Roman" w:hAnsi="Arial" w:cs="Arial"/>
          <w:sz w:val="24"/>
          <w:szCs w:val="24"/>
          <w:lang w:eastAsia="en-GB"/>
        </w:rPr>
        <w:t>assist the person to exercise their rights if they want to</w:t>
      </w:r>
    </w:p>
    <w:p w14:paraId="1813E91C" w14:textId="77777777" w:rsidR="003D5DEE" w:rsidRPr="0073470E" w:rsidRDefault="003D5DEE" w:rsidP="003D5D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3470E">
        <w:rPr>
          <w:rFonts w:ascii="Arial" w:eastAsia="Times New Roman" w:hAnsi="Arial" w:cs="Arial"/>
          <w:sz w:val="24"/>
          <w:szCs w:val="24"/>
          <w:lang w:eastAsia="en-GB"/>
        </w:rPr>
        <w:t>Ensure any conditions attached to the authorisation are met, referring any concerns to the court if necessary</w:t>
      </w:r>
    </w:p>
    <w:p w14:paraId="4EE294C3" w14:textId="02F9020B" w:rsidR="003D5DEE" w:rsidRPr="0073470E" w:rsidRDefault="003D5DEE" w:rsidP="003D5D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3470E">
        <w:rPr>
          <w:rFonts w:ascii="Arial" w:eastAsia="Times New Roman" w:hAnsi="Arial" w:cs="Arial"/>
          <w:sz w:val="24"/>
          <w:szCs w:val="24"/>
          <w:lang w:eastAsia="en-GB"/>
        </w:rPr>
        <w:t xml:space="preserve">If </w:t>
      </w:r>
      <w:r w:rsidR="00F00D3C" w:rsidRPr="0073470E">
        <w:rPr>
          <w:rFonts w:ascii="Arial" w:eastAsia="Times New Roman" w:hAnsi="Arial" w:cs="Arial"/>
          <w:sz w:val="24"/>
          <w:szCs w:val="24"/>
          <w:lang w:eastAsia="en-GB"/>
        </w:rPr>
        <w:t>necessary,</w:t>
      </w:r>
      <w:r w:rsidRPr="0073470E">
        <w:rPr>
          <w:rFonts w:ascii="Arial" w:eastAsia="Times New Roman" w:hAnsi="Arial" w:cs="Arial"/>
          <w:sz w:val="24"/>
          <w:szCs w:val="24"/>
          <w:lang w:eastAsia="en-GB"/>
        </w:rPr>
        <w:t xml:space="preserve"> ask for an early review of the authorisation</w:t>
      </w:r>
    </w:p>
    <w:p w14:paraId="6571E284" w14:textId="5D9B3792" w:rsidR="003D5DEE" w:rsidRPr="0073470E" w:rsidRDefault="003D5DEE" w:rsidP="003D5DE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3470E">
        <w:rPr>
          <w:rFonts w:ascii="Arial" w:eastAsia="Times New Roman" w:hAnsi="Arial" w:cs="Arial"/>
          <w:sz w:val="24"/>
          <w:szCs w:val="24"/>
          <w:lang w:eastAsia="en-GB"/>
        </w:rPr>
        <w:t xml:space="preserve">Feedback at the end of an </w:t>
      </w:r>
      <w:r w:rsidRPr="007E1266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73470E">
        <w:rPr>
          <w:rFonts w:ascii="Arial" w:eastAsia="Times New Roman" w:hAnsi="Arial" w:cs="Arial"/>
          <w:sz w:val="24"/>
          <w:szCs w:val="24"/>
          <w:lang w:eastAsia="en-GB"/>
        </w:rPr>
        <w:t>uthorisation</w:t>
      </w:r>
      <w:r w:rsidR="00944722">
        <w:rPr>
          <w:rFonts w:ascii="Arial" w:eastAsia="Times New Roman" w:hAnsi="Arial" w:cs="Arial"/>
          <w:sz w:val="24"/>
          <w:szCs w:val="24"/>
          <w:lang w:eastAsia="en-GB"/>
        </w:rPr>
        <w:t xml:space="preserve"> before the case is closed.</w:t>
      </w:r>
    </w:p>
    <w:p w14:paraId="312ECF1E" w14:textId="77777777" w:rsidR="003D5DEE" w:rsidRDefault="003D5DEE" w:rsidP="00006FB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2F15B36" w14:textId="5B883315" w:rsidR="00143B5C" w:rsidRDefault="00006FB0" w:rsidP="00006FB0">
      <w:pPr>
        <w:pStyle w:val="NoSpacing"/>
        <w:rPr>
          <w:rFonts w:ascii="Arial" w:hAnsi="Arial" w:cs="Arial"/>
          <w:b/>
          <w:sz w:val="24"/>
          <w:szCs w:val="24"/>
        </w:rPr>
      </w:pPr>
      <w:r w:rsidRPr="00143B5C">
        <w:rPr>
          <w:rFonts w:ascii="Arial" w:hAnsi="Arial" w:cs="Arial"/>
          <w:b/>
          <w:sz w:val="24"/>
          <w:szCs w:val="24"/>
        </w:rPr>
        <w:t xml:space="preserve">Referrals for </w:t>
      </w:r>
      <w:r w:rsidR="00143B5C" w:rsidRPr="00143B5C">
        <w:rPr>
          <w:rFonts w:ascii="Arial" w:hAnsi="Arial" w:cs="Arial"/>
          <w:b/>
          <w:sz w:val="24"/>
          <w:szCs w:val="24"/>
        </w:rPr>
        <w:t>a</w:t>
      </w:r>
      <w:r w:rsidR="00675984">
        <w:rPr>
          <w:rFonts w:ascii="Arial" w:hAnsi="Arial" w:cs="Arial"/>
          <w:b/>
          <w:sz w:val="24"/>
          <w:szCs w:val="24"/>
        </w:rPr>
        <w:t xml:space="preserve"> </w:t>
      </w:r>
      <w:r w:rsidR="000A0604">
        <w:rPr>
          <w:rFonts w:ascii="Arial" w:hAnsi="Arial" w:cs="Arial"/>
          <w:b/>
          <w:sz w:val="24"/>
          <w:szCs w:val="24"/>
        </w:rPr>
        <w:t>Rule 1.2 Rep</w:t>
      </w:r>
    </w:p>
    <w:p w14:paraId="10451092" w14:textId="77777777" w:rsidR="00C35F55" w:rsidRDefault="00C35F55" w:rsidP="00006FB0">
      <w:pPr>
        <w:pStyle w:val="NoSpacing"/>
        <w:rPr>
          <w:rFonts w:ascii="Arial" w:hAnsi="Arial" w:cs="Arial"/>
          <w:sz w:val="24"/>
          <w:szCs w:val="24"/>
        </w:rPr>
      </w:pPr>
    </w:p>
    <w:p w14:paraId="179D8314" w14:textId="6188B4A1" w:rsidR="007E63AD" w:rsidRDefault="00C35F55" w:rsidP="00006FB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Referrals sho</w:t>
      </w:r>
      <w:r w:rsidR="0027273A">
        <w:rPr>
          <w:rFonts w:ascii="Arial" w:hAnsi="Arial" w:cs="Arial"/>
          <w:sz w:val="24"/>
          <w:szCs w:val="24"/>
        </w:rPr>
        <w:t>uld be made by the appropriate professional</w:t>
      </w:r>
      <w:r>
        <w:rPr>
          <w:rFonts w:ascii="Arial" w:hAnsi="Arial" w:cs="Arial"/>
          <w:sz w:val="24"/>
          <w:szCs w:val="24"/>
        </w:rPr>
        <w:t xml:space="preserve"> using </w:t>
      </w:r>
      <w:r w:rsidR="000B24FB">
        <w:rPr>
          <w:rFonts w:ascii="Arial" w:hAnsi="Arial" w:cs="Arial"/>
          <w:sz w:val="24"/>
          <w:szCs w:val="24"/>
        </w:rPr>
        <w:t xml:space="preserve">the </w:t>
      </w:r>
      <w:r w:rsidR="003D5DEE">
        <w:rPr>
          <w:rFonts w:ascii="Arial" w:hAnsi="Arial" w:cs="Arial"/>
          <w:sz w:val="24"/>
          <w:szCs w:val="24"/>
        </w:rPr>
        <w:t>1.2 Rep referral form</w:t>
      </w:r>
      <w:r w:rsidR="00F00D3C">
        <w:rPr>
          <w:rFonts w:ascii="Arial" w:hAnsi="Arial" w:cs="Arial"/>
          <w:sz w:val="24"/>
          <w:szCs w:val="24"/>
        </w:rPr>
        <w:t xml:space="preserve"> which can be downloaded from the Warrington Speak Up website.</w:t>
      </w:r>
      <w:r w:rsidR="007E63AD">
        <w:rPr>
          <w:rFonts w:ascii="Arial" w:hAnsi="Arial" w:cs="Arial"/>
          <w:sz w:val="24"/>
          <w:szCs w:val="24"/>
        </w:rPr>
        <w:t xml:space="preserve"> Forms are also available via the Warrington Borough Council intranet. </w:t>
      </w:r>
    </w:p>
    <w:p w14:paraId="5840F1F3" w14:textId="77777777" w:rsidR="007E63AD" w:rsidRPr="007E63AD" w:rsidRDefault="007E63AD" w:rsidP="00006FB0">
      <w:pPr>
        <w:pStyle w:val="NoSpacing"/>
        <w:rPr>
          <w:rFonts w:ascii="Arial" w:hAnsi="Arial" w:cs="Arial"/>
          <w:sz w:val="24"/>
          <w:szCs w:val="24"/>
        </w:rPr>
      </w:pPr>
    </w:p>
    <w:p w14:paraId="29EFEA92" w14:textId="7EA9DEA6" w:rsidR="007E63AD" w:rsidRPr="007E63AD" w:rsidRDefault="007E63AD" w:rsidP="007E63AD">
      <w:pPr>
        <w:rPr>
          <w:rFonts w:ascii="Arial" w:hAnsi="Arial" w:cs="Arial"/>
          <w:sz w:val="24"/>
          <w:szCs w:val="24"/>
        </w:rPr>
      </w:pPr>
      <w:r w:rsidRPr="007E63AD">
        <w:rPr>
          <w:rFonts w:ascii="Arial" w:hAnsi="Arial" w:cs="Arial"/>
          <w:sz w:val="24"/>
          <w:szCs w:val="24"/>
        </w:rPr>
        <w:t xml:space="preserve">Please provide as much detail as possible on the referral form as this will inform our allocation process and advocacy work. </w:t>
      </w:r>
      <w:r w:rsidR="008F4F9E">
        <w:rPr>
          <w:rFonts w:ascii="Arial" w:hAnsi="Arial" w:cs="Arial"/>
          <w:sz w:val="24"/>
          <w:szCs w:val="24"/>
        </w:rPr>
        <w:t>T</w:t>
      </w:r>
      <w:r w:rsidRPr="007E63AD">
        <w:rPr>
          <w:rFonts w:ascii="Arial" w:hAnsi="Arial" w:cs="Arial"/>
          <w:sz w:val="24"/>
          <w:szCs w:val="24"/>
        </w:rPr>
        <w:t xml:space="preserve">his </w:t>
      </w:r>
      <w:r w:rsidR="008F4F9E">
        <w:rPr>
          <w:rFonts w:ascii="Arial" w:hAnsi="Arial" w:cs="Arial"/>
          <w:sz w:val="24"/>
          <w:szCs w:val="24"/>
        </w:rPr>
        <w:t>should</w:t>
      </w:r>
      <w:r w:rsidRPr="007E63AD">
        <w:rPr>
          <w:rFonts w:ascii="Arial" w:hAnsi="Arial" w:cs="Arial"/>
          <w:sz w:val="24"/>
          <w:szCs w:val="24"/>
        </w:rPr>
        <w:t xml:space="preserve"> include significant meeting dates, information on any access needs or communication approaches and relevant religious, cultural or gender factors. </w:t>
      </w:r>
    </w:p>
    <w:p w14:paraId="74069B9B" w14:textId="77777777" w:rsidR="007E63AD" w:rsidRPr="007E63AD" w:rsidRDefault="007E63AD" w:rsidP="007E63AD">
      <w:pPr>
        <w:rPr>
          <w:rFonts w:ascii="Arial" w:hAnsi="Arial" w:cs="Arial"/>
          <w:sz w:val="24"/>
          <w:szCs w:val="24"/>
        </w:rPr>
      </w:pPr>
      <w:r w:rsidRPr="007E63AD">
        <w:rPr>
          <w:rFonts w:ascii="Arial" w:hAnsi="Arial" w:cs="Arial"/>
          <w:sz w:val="24"/>
          <w:szCs w:val="24"/>
        </w:rPr>
        <w:t xml:space="preserve">If required and where appropriate we will follow up with the referrer to seek clarity and/or obtain further information. Please note this may cause a delay in actioning the referral. </w:t>
      </w:r>
    </w:p>
    <w:p w14:paraId="3C8C8ED5" w14:textId="77777777" w:rsidR="007E63AD" w:rsidRPr="007E63AD" w:rsidRDefault="007E63AD" w:rsidP="007E63AD">
      <w:pPr>
        <w:rPr>
          <w:rFonts w:ascii="Arial" w:hAnsi="Arial" w:cs="Arial"/>
          <w:sz w:val="24"/>
          <w:szCs w:val="24"/>
        </w:rPr>
      </w:pPr>
      <w:r w:rsidRPr="007E63AD">
        <w:rPr>
          <w:rFonts w:ascii="Arial" w:hAnsi="Arial" w:cs="Arial"/>
          <w:sz w:val="24"/>
          <w:szCs w:val="24"/>
        </w:rPr>
        <w:t xml:space="preserve">If you are uncertain as to whether a person is entitled to an advocate, please contact the duty advocate on 01925 246 888 to discuss further. </w:t>
      </w:r>
    </w:p>
    <w:p w14:paraId="77504F3A" w14:textId="3CF98C08" w:rsidR="007E63AD" w:rsidRPr="007E63AD" w:rsidRDefault="007E63AD" w:rsidP="007E63AD">
      <w:pPr>
        <w:rPr>
          <w:rFonts w:ascii="Arial" w:hAnsi="Arial" w:cs="Arial"/>
          <w:sz w:val="24"/>
          <w:szCs w:val="24"/>
        </w:rPr>
      </w:pPr>
      <w:r w:rsidRPr="007E63AD">
        <w:rPr>
          <w:rFonts w:ascii="Arial" w:hAnsi="Arial" w:cs="Arial"/>
          <w:sz w:val="24"/>
          <w:szCs w:val="24"/>
        </w:rPr>
        <w:t xml:space="preserve">Referrals should be sent via email to </w:t>
      </w:r>
      <w:hyperlink r:id="rId12" w:history="1">
        <w:r w:rsidRPr="007E63AD">
          <w:rPr>
            <w:rStyle w:val="Hyperlink"/>
            <w:rFonts w:ascii="Arial" w:hAnsi="Arial" w:cs="Arial"/>
            <w:sz w:val="24"/>
            <w:szCs w:val="24"/>
          </w:rPr>
          <w:t>referral@advocacyhub.org.uk</w:t>
        </w:r>
      </w:hyperlink>
      <w:r w:rsidRPr="007E63AD">
        <w:rPr>
          <w:rFonts w:ascii="Arial" w:hAnsi="Arial" w:cs="Arial"/>
          <w:sz w:val="24"/>
          <w:szCs w:val="24"/>
        </w:rPr>
        <w:t>.</w:t>
      </w:r>
    </w:p>
    <w:p w14:paraId="5EFC59B5" w14:textId="77777777" w:rsidR="007E63AD" w:rsidRDefault="007E63AD" w:rsidP="007E63AD">
      <w:pPr>
        <w:rPr>
          <w:rFonts w:ascii="Arial" w:hAnsi="Arial" w:cs="Arial"/>
          <w:sz w:val="24"/>
          <w:szCs w:val="24"/>
        </w:rPr>
      </w:pPr>
      <w:r w:rsidRPr="007E63AD">
        <w:rPr>
          <w:rFonts w:ascii="Arial" w:hAnsi="Arial" w:cs="Arial"/>
          <w:sz w:val="24"/>
          <w:szCs w:val="24"/>
        </w:rPr>
        <w:t xml:space="preserve">The referrer will receive an immediate automated response confirming that the referral has been received. </w:t>
      </w:r>
    </w:p>
    <w:p w14:paraId="798452A3" w14:textId="77777777" w:rsidR="007E63AD" w:rsidRPr="007E63AD" w:rsidRDefault="007E63AD" w:rsidP="007E63AD">
      <w:pPr>
        <w:rPr>
          <w:rFonts w:ascii="Arial" w:hAnsi="Arial" w:cs="Arial"/>
          <w:sz w:val="24"/>
          <w:szCs w:val="24"/>
        </w:rPr>
      </w:pPr>
    </w:p>
    <w:p w14:paraId="6463232F" w14:textId="77777777" w:rsidR="007E63AD" w:rsidRPr="00030DE5" w:rsidRDefault="007E63AD" w:rsidP="007E63AD">
      <w:pPr>
        <w:pStyle w:val="NormalWeb"/>
        <w:spacing w:before="0" w:beforeAutospacing="0" w:after="150" w:afterAutospacing="0"/>
        <w:rPr>
          <w:rFonts w:ascii="Arial" w:hAnsi="Arial" w:cs="Arial"/>
          <w:b/>
          <w:szCs w:val="21"/>
        </w:rPr>
      </w:pPr>
      <w:r w:rsidRPr="00030DE5">
        <w:rPr>
          <w:rFonts w:ascii="Arial" w:hAnsi="Arial" w:cs="Arial"/>
          <w:b/>
          <w:szCs w:val="21"/>
        </w:rPr>
        <w:t xml:space="preserve">Please ensure </w:t>
      </w:r>
      <w:r>
        <w:rPr>
          <w:rFonts w:ascii="Arial" w:hAnsi="Arial" w:cs="Arial"/>
          <w:b/>
          <w:szCs w:val="21"/>
        </w:rPr>
        <w:t xml:space="preserve">where possible </w:t>
      </w:r>
      <w:r w:rsidRPr="00030DE5">
        <w:rPr>
          <w:rFonts w:ascii="Arial" w:hAnsi="Arial" w:cs="Arial"/>
          <w:b/>
          <w:szCs w:val="21"/>
        </w:rPr>
        <w:t>a copy of the court order is provided and any other relevant documents, such as the most recent social care assessment.</w:t>
      </w:r>
    </w:p>
    <w:p w14:paraId="120A557D" w14:textId="77777777" w:rsidR="007E63AD" w:rsidRPr="00944BF7" w:rsidRDefault="007E63AD" w:rsidP="007E63AD">
      <w:pPr>
        <w:rPr>
          <w:rFonts w:ascii="Arial" w:hAnsi="Arial" w:cs="Arial"/>
          <w:sz w:val="24"/>
          <w:szCs w:val="24"/>
        </w:rPr>
      </w:pPr>
    </w:p>
    <w:p w14:paraId="59972AF2" w14:textId="76D37A6A" w:rsidR="007E63AD" w:rsidRPr="00944BF7" w:rsidRDefault="007E63AD" w:rsidP="00006FB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44BF7">
        <w:rPr>
          <w:rFonts w:ascii="Arial" w:hAnsi="Arial" w:cs="Arial"/>
          <w:b/>
          <w:bCs/>
          <w:sz w:val="24"/>
          <w:szCs w:val="24"/>
        </w:rPr>
        <w:t xml:space="preserve">Geography </w:t>
      </w:r>
    </w:p>
    <w:p w14:paraId="10FDDE63" w14:textId="77777777" w:rsidR="007E63AD" w:rsidRPr="00944BF7" w:rsidRDefault="007E63AD" w:rsidP="00006FB0">
      <w:pPr>
        <w:pStyle w:val="NoSpacing"/>
        <w:rPr>
          <w:rFonts w:ascii="Arial" w:hAnsi="Arial" w:cs="Arial"/>
          <w:sz w:val="24"/>
          <w:szCs w:val="24"/>
        </w:rPr>
      </w:pPr>
    </w:p>
    <w:p w14:paraId="2E6D98B5" w14:textId="15A4927E" w:rsidR="007E63AD" w:rsidRPr="00944BF7" w:rsidRDefault="007E63AD" w:rsidP="007E63AD">
      <w:pPr>
        <w:rPr>
          <w:rFonts w:ascii="Arial" w:hAnsi="Arial" w:cs="Arial"/>
          <w:sz w:val="24"/>
          <w:szCs w:val="24"/>
        </w:rPr>
      </w:pPr>
      <w:r w:rsidRPr="00944BF7">
        <w:rPr>
          <w:rFonts w:ascii="Arial" w:hAnsi="Arial" w:cs="Arial"/>
          <w:sz w:val="24"/>
          <w:szCs w:val="24"/>
        </w:rPr>
        <w:t xml:space="preserve">We will provide the Paid 1.2 Rep role where Warrington Borough Council is responsible for a person’s care and support within a 12-mile radius of Warrington city centre. </w:t>
      </w:r>
    </w:p>
    <w:p w14:paraId="065E4FC7" w14:textId="56BA5C1A" w:rsidR="005618D2" w:rsidRPr="00944BF7" w:rsidRDefault="00944BF7" w:rsidP="005618D2">
      <w:pPr>
        <w:rPr>
          <w:rFonts w:ascii="Arial" w:hAnsi="Arial" w:cs="Arial"/>
          <w:sz w:val="24"/>
          <w:szCs w:val="24"/>
        </w:rPr>
      </w:pPr>
      <w:r w:rsidRPr="00944BF7">
        <w:rPr>
          <w:rFonts w:ascii="Arial" w:hAnsi="Arial" w:cs="Arial"/>
          <w:sz w:val="24"/>
          <w:szCs w:val="24"/>
        </w:rPr>
        <w:t xml:space="preserve">Out of area referrals will be considered on completion of a referral form and signed spot purchase agreement. </w:t>
      </w:r>
    </w:p>
    <w:sectPr w:rsidR="005618D2" w:rsidRPr="00944BF7" w:rsidSect="002727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EAF9" w14:textId="77777777" w:rsidR="00BE5F0E" w:rsidRDefault="00BE5F0E" w:rsidP="00915A89">
      <w:pPr>
        <w:spacing w:after="0" w:line="240" w:lineRule="auto"/>
      </w:pPr>
      <w:r>
        <w:separator/>
      </w:r>
    </w:p>
  </w:endnote>
  <w:endnote w:type="continuationSeparator" w:id="0">
    <w:p w14:paraId="543D137C" w14:textId="77777777" w:rsidR="00BE5F0E" w:rsidRDefault="00BE5F0E" w:rsidP="0091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4BB7" w14:textId="77777777" w:rsidR="00F00D3C" w:rsidRDefault="00F00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0CBF" w14:textId="25337477" w:rsidR="00D12B62" w:rsidRPr="00D12B62" w:rsidRDefault="00D12B62" w:rsidP="008F37A3">
    <w:pPr>
      <w:pStyle w:val="Footer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7BF9" w14:textId="77777777" w:rsidR="00F00D3C" w:rsidRDefault="00F00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6BC2" w14:textId="77777777" w:rsidR="00BE5F0E" w:rsidRDefault="00BE5F0E" w:rsidP="00915A89">
      <w:pPr>
        <w:spacing w:after="0" w:line="240" w:lineRule="auto"/>
      </w:pPr>
      <w:r>
        <w:separator/>
      </w:r>
    </w:p>
  </w:footnote>
  <w:footnote w:type="continuationSeparator" w:id="0">
    <w:p w14:paraId="2392DCA3" w14:textId="77777777" w:rsidR="00BE5F0E" w:rsidRDefault="00BE5F0E" w:rsidP="0091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C0C4" w14:textId="77777777" w:rsidR="00F00D3C" w:rsidRDefault="00F00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45D0" w14:textId="77777777" w:rsidR="00F00D3C" w:rsidRDefault="00F00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4603" w14:textId="77777777" w:rsidR="00F00D3C" w:rsidRDefault="00F00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083"/>
    <w:multiLevelType w:val="hybridMultilevel"/>
    <w:tmpl w:val="266E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309D"/>
    <w:multiLevelType w:val="hybridMultilevel"/>
    <w:tmpl w:val="6EE2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F683D"/>
    <w:multiLevelType w:val="multilevel"/>
    <w:tmpl w:val="98EC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445E5"/>
    <w:multiLevelType w:val="multilevel"/>
    <w:tmpl w:val="C914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76794"/>
    <w:multiLevelType w:val="hybridMultilevel"/>
    <w:tmpl w:val="BD0AE00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A7366"/>
    <w:multiLevelType w:val="hybridMultilevel"/>
    <w:tmpl w:val="C5827ED2"/>
    <w:lvl w:ilvl="0" w:tplc="740EC3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05686"/>
    <w:multiLevelType w:val="hybridMultilevel"/>
    <w:tmpl w:val="42BC9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24B7"/>
    <w:multiLevelType w:val="hybridMultilevel"/>
    <w:tmpl w:val="4FCE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6664"/>
    <w:multiLevelType w:val="hybridMultilevel"/>
    <w:tmpl w:val="81286FB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E665B"/>
    <w:multiLevelType w:val="hybridMultilevel"/>
    <w:tmpl w:val="719E1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25B65"/>
    <w:multiLevelType w:val="hybridMultilevel"/>
    <w:tmpl w:val="DAE8A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540AA"/>
    <w:multiLevelType w:val="hybridMultilevel"/>
    <w:tmpl w:val="F436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F6553"/>
    <w:multiLevelType w:val="hybridMultilevel"/>
    <w:tmpl w:val="E4CE5B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146495"/>
    <w:multiLevelType w:val="hybridMultilevel"/>
    <w:tmpl w:val="713A62C0"/>
    <w:lvl w:ilvl="0" w:tplc="795EA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75D47"/>
    <w:multiLevelType w:val="hybridMultilevel"/>
    <w:tmpl w:val="A67C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E0B8A"/>
    <w:multiLevelType w:val="hybridMultilevel"/>
    <w:tmpl w:val="BAE4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0594F"/>
    <w:multiLevelType w:val="hybridMultilevel"/>
    <w:tmpl w:val="E68C4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A0659"/>
    <w:multiLevelType w:val="hybridMultilevel"/>
    <w:tmpl w:val="7E949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060A"/>
    <w:multiLevelType w:val="hybridMultilevel"/>
    <w:tmpl w:val="C7FEE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0663A"/>
    <w:multiLevelType w:val="hybridMultilevel"/>
    <w:tmpl w:val="95E29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34AF9"/>
    <w:multiLevelType w:val="multilevel"/>
    <w:tmpl w:val="F5F8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2D0310"/>
    <w:multiLevelType w:val="hybridMultilevel"/>
    <w:tmpl w:val="56C89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91884"/>
    <w:multiLevelType w:val="hybridMultilevel"/>
    <w:tmpl w:val="0D920690"/>
    <w:lvl w:ilvl="0" w:tplc="600E6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953F7"/>
    <w:multiLevelType w:val="hybridMultilevel"/>
    <w:tmpl w:val="804A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555B9"/>
    <w:multiLevelType w:val="hybridMultilevel"/>
    <w:tmpl w:val="D520D138"/>
    <w:lvl w:ilvl="0" w:tplc="EAE01F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891F1C"/>
    <w:multiLevelType w:val="hybridMultilevel"/>
    <w:tmpl w:val="4EC69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3EB1"/>
    <w:multiLevelType w:val="hybridMultilevel"/>
    <w:tmpl w:val="11BA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B338A"/>
    <w:multiLevelType w:val="hybridMultilevel"/>
    <w:tmpl w:val="F2B48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8254E"/>
    <w:multiLevelType w:val="hybridMultilevel"/>
    <w:tmpl w:val="CF5A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7266F"/>
    <w:multiLevelType w:val="hybridMultilevel"/>
    <w:tmpl w:val="2E88832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C631D7"/>
    <w:multiLevelType w:val="hybridMultilevel"/>
    <w:tmpl w:val="8AF6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E6353"/>
    <w:multiLevelType w:val="hybridMultilevel"/>
    <w:tmpl w:val="847C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15933">
    <w:abstractNumId w:val="22"/>
  </w:num>
  <w:num w:numId="2" w16cid:durableId="1396778946">
    <w:abstractNumId w:val="8"/>
  </w:num>
  <w:num w:numId="3" w16cid:durableId="21320170">
    <w:abstractNumId w:val="13"/>
  </w:num>
  <w:num w:numId="4" w16cid:durableId="257099111">
    <w:abstractNumId w:val="23"/>
  </w:num>
  <w:num w:numId="5" w16cid:durableId="1033117371">
    <w:abstractNumId w:val="5"/>
  </w:num>
  <w:num w:numId="6" w16cid:durableId="504366849">
    <w:abstractNumId w:val="31"/>
  </w:num>
  <w:num w:numId="7" w16cid:durableId="1309356424">
    <w:abstractNumId w:val="1"/>
  </w:num>
  <w:num w:numId="8" w16cid:durableId="999383326">
    <w:abstractNumId w:val="12"/>
  </w:num>
  <w:num w:numId="9" w16cid:durableId="1158376967">
    <w:abstractNumId w:val="7"/>
  </w:num>
  <w:num w:numId="10" w16cid:durableId="1140149480">
    <w:abstractNumId w:val="24"/>
  </w:num>
  <w:num w:numId="11" w16cid:durableId="1042249340">
    <w:abstractNumId w:val="11"/>
  </w:num>
  <w:num w:numId="12" w16cid:durableId="198206656">
    <w:abstractNumId w:val="15"/>
  </w:num>
  <w:num w:numId="13" w16cid:durableId="678699841">
    <w:abstractNumId w:val="10"/>
  </w:num>
  <w:num w:numId="14" w16cid:durableId="1815216958">
    <w:abstractNumId w:val="20"/>
  </w:num>
  <w:num w:numId="15" w16cid:durableId="1653101791">
    <w:abstractNumId w:val="0"/>
  </w:num>
  <w:num w:numId="16" w16cid:durableId="585697057">
    <w:abstractNumId w:val="30"/>
  </w:num>
  <w:num w:numId="17" w16cid:durableId="77022639">
    <w:abstractNumId w:val="16"/>
  </w:num>
  <w:num w:numId="18" w16cid:durableId="417290439">
    <w:abstractNumId w:val="27"/>
  </w:num>
  <w:num w:numId="19" w16cid:durableId="382602253">
    <w:abstractNumId w:val="6"/>
  </w:num>
  <w:num w:numId="20" w16cid:durableId="1815442345">
    <w:abstractNumId w:val="19"/>
  </w:num>
  <w:num w:numId="21" w16cid:durableId="953633507">
    <w:abstractNumId w:val="25"/>
  </w:num>
  <w:num w:numId="22" w16cid:durableId="1572275904">
    <w:abstractNumId w:val="18"/>
  </w:num>
  <w:num w:numId="23" w16cid:durableId="1093934687">
    <w:abstractNumId w:val="29"/>
  </w:num>
  <w:num w:numId="24" w16cid:durableId="99222107">
    <w:abstractNumId w:val="14"/>
  </w:num>
  <w:num w:numId="25" w16cid:durableId="1617254341">
    <w:abstractNumId w:val="4"/>
  </w:num>
  <w:num w:numId="26" w16cid:durableId="1003974216">
    <w:abstractNumId w:val="21"/>
  </w:num>
  <w:num w:numId="27" w16cid:durableId="436603882">
    <w:abstractNumId w:val="28"/>
  </w:num>
  <w:num w:numId="28" w16cid:durableId="1790320279">
    <w:abstractNumId w:val="17"/>
  </w:num>
  <w:num w:numId="29" w16cid:durableId="1397629026">
    <w:abstractNumId w:val="26"/>
  </w:num>
  <w:num w:numId="30" w16cid:durableId="577247710">
    <w:abstractNumId w:val="2"/>
  </w:num>
  <w:num w:numId="31" w16cid:durableId="1932003952">
    <w:abstractNumId w:val="9"/>
  </w:num>
  <w:num w:numId="32" w16cid:durableId="1945112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9C"/>
    <w:rsid w:val="000045B9"/>
    <w:rsid w:val="00006FB0"/>
    <w:rsid w:val="00026F0D"/>
    <w:rsid w:val="00030DE5"/>
    <w:rsid w:val="00061497"/>
    <w:rsid w:val="00077EC9"/>
    <w:rsid w:val="000831A5"/>
    <w:rsid w:val="000A0604"/>
    <w:rsid w:val="000A0ADE"/>
    <w:rsid w:val="000A6161"/>
    <w:rsid w:val="000B24FB"/>
    <w:rsid w:val="000B464F"/>
    <w:rsid w:val="000B7EE1"/>
    <w:rsid w:val="000C32FD"/>
    <w:rsid w:val="000C740F"/>
    <w:rsid w:val="000D670D"/>
    <w:rsid w:val="000E53C6"/>
    <w:rsid w:val="001401B1"/>
    <w:rsid w:val="00143B5C"/>
    <w:rsid w:val="001456EA"/>
    <w:rsid w:val="001B004E"/>
    <w:rsid w:val="001B24A2"/>
    <w:rsid w:val="001D4AFE"/>
    <w:rsid w:val="001F5593"/>
    <w:rsid w:val="00214EC0"/>
    <w:rsid w:val="00251CF9"/>
    <w:rsid w:val="00251E35"/>
    <w:rsid w:val="0025742C"/>
    <w:rsid w:val="0027273A"/>
    <w:rsid w:val="002D5FEE"/>
    <w:rsid w:val="002E3B77"/>
    <w:rsid w:val="00340F8F"/>
    <w:rsid w:val="00351F9A"/>
    <w:rsid w:val="0035347B"/>
    <w:rsid w:val="00353E3B"/>
    <w:rsid w:val="00361C57"/>
    <w:rsid w:val="00376C6E"/>
    <w:rsid w:val="003806F9"/>
    <w:rsid w:val="00380999"/>
    <w:rsid w:val="00390215"/>
    <w:rsid w:val="003942ED"/>
    <w:rsid w:val="003A081D"/>
    <w:rsid w:val="003D2EC6"/>
    <w:rsid w:val="003D5DEE"/>
    <w:rsid w:val="003E22F0"/>
    <w:rsid w:val="004217E6"/>
    <w:rsid w:val="00421971"/>
    <w:rsid w:val="00434F2E"/>
    <w:rsid w:val="0046612E"/>
    <w:rsid w:val="00472548"/>
    <w:rsid w:val="00483B5D"/>
    <w:rsid w:val="004919B8"/>
    <w:rsid w:val="00496887"/>
    <w:rsid w:val="0049741A"/>
    <w:rsid w:val="004C2ACF"/>
    <w:rsid w:val="004D6833"/>
    <w:rsid w:val="0050170F"/>
    <w:rsid w:val="0053573D"/>
    <w:rsid w:val="005618D2"/>
    <w:rsid w:val="005933D8"/>
    <w:rsid w:val="005E1FF8"/>
    <w:rsid w:val="005E3514"/>
    <w:rsid w:val="005F5013"/>
    <w:rsid w:val="005F5270"/>
    <w:rsid w:val="005F646B"/>
    <w:rsid w:val="006107B7"/>
    <w:rsid w:val="006434F1"/>
    <w:rsid w:val="006542AA"/>
    <w:rsid w:val="00667AA4"/>
    <w:rsid w:val="00675984"/>
    <w:rsid w:val="006C4E3B"/>
    <w:rsid w:val="006E2F9C"/>
    <w:rsid w:val="006F5BF1"/>
    <w:rsid w:val="006F5D10"/>
    <w:rsid w:val="007041C8"/>
    <w:rsid w:val="00711C8C"/>
    <w:rsid w:val="0071667A"/>
    <w:rsid w:val="007270E3"/>
    <w:rsid w:val="007A156B"/>
    <w:rsid w:val="007E63AD"/>
    <w:rsid w:val="0082472F"/>
    <w:rsid w:val="0083091B"/>
    <w:rsid w:val="008331B2"/>
    <w:rsid w:val="00866C6F"/>
    <w:rsid w:val="00870B2A"/>
    <w:rsid w:val="00871D32"/>
    <w:rsid w:val="00881530"/>
    <w:rsid w:val="008E18B3"/>
    <w:rsid w:val="008F37A3"/>
    <w:rsid w:val="008F4F9E"/>
    <w:rsid w:val="00915A89"/>
    <w:rsid w:val="00921899"/>
    <w:rsid w:val="00944722"/>
    <w:rsid w:val="00944BF7"/>
    <w:rsid w:val="00983F8C"/>
    <w:rsid w:val="009916E2"/>
    <w:rsid w:val="009A2D9E"/>
    <w:rsid w:val="009A3338"/>
    <w:rsid w:val="009D7A85"/>
    <w:rsid w:val="00A26159"/>
    <w:rsid w:val="00A4466E"/>
    <w:rsid w:val="00A46DDA"/>
    <w:rsid w:val="00A8117B"/>
    <w:rsid w:val="00AB22DD"/>
    <w:rsid w:val="00AC2739"/>
    <w:rsid w:val="00AC43AF"/>
    <w:rsid w:val="00B254FE"/>
    <w:rsid w:val="00B73F2D"/>
    <w:rsid w:val="00BB6A0A"/>
    <w:rsid w:val="00BE280E"/>
    <w:rsid w:val="00BE5F0E"/>
    <w:rsid w:val="00BF761E"/>
    <w:rsid w:val="00C06C95"/>
    <w:rsid w:val="00C30597"/>
    <w:rsid w:val="00C35F55"/>
    <w:rsid w:val="00C55E47"/>
    <w:rsid w:val="00C5643B"/>
    <w:rsid w:val="00C91CEA"/>
    <w:rsid w:val="00C92CEA"/>
    <w:rsid w:val="00C93347"/>
    <w:rsid w:val="00CB4BB5"/>
    <w:rsid w:val="00CC6CC7"/>
    <w:rsid w:val="00CF6744"/>
    <w:rsid w:val="00D1100A"/>
    <w:rsid w:val="00D12B62"/>
    <w:rsid w:val="00D8397C"/>
    <w:rsid w:val="00D92385"/>
    <w:rsid w:val="00DA3912"/>
    <w:rsid w:val="00DC7B6C"/>
    <w:rsid w:val="00DD4E42"/>
    <w:rsid w:val="00DF7C4A"/>
    <w:rsid w:val="00E02054"/>
    <w:rsid w:val="00E057BB"/>
    <w:rsid w:val="00E06269"/>
    <w:rsid w:val="00E169CF"/>
    <w:rsid w:val="00E32F51"/>
    <w:rsid w:val="00E57B06"/>
    <w:rsid w:val="00E62432"/>
    <w:rsid w:val="00E762F0"/>
    <w:rsid w:val="00E80150"/>
    <w:rsid w:val="00E81A81"/>
    <w:rsid w:val="00E82107"/>
    <w:rsid w:val="00EA0EC4"/>
    <w:rsid w:val="00EB06A4"/>
    <w:rsid w:val="00EE5F27"/>
    <w:rsid w:val="00F0091A"/>
    <w:rsid w:val="00F00D3C"/>
    <w:rsid w:val="00F22813"/>
    <w:rsid w:val="00F340B5"/>
    <w:rsid w:val="00F41629"/>
    <w:rsid w:val="00F46C31"/>
    <w:rsid w:val="00FC1609"/>
    <w:rsid w:val="00FD55EF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8E355"/>
  <w15:chartTrackingRefBased/>
  <w15:docId w15:val="{FBF8176F-36DC-4717-BD08-FE414A97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18D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2548"/>
    <w:rPr>
      <w:b/>
      <w:bCs/>
    </w:rPr>
  </w:style>
  <w:style w:type="character" w:customStyle="1" w:styleId="apple-converted-space">
    <w:name w:val="apple-converted-space"/>
    <w:basedOn w:val="DefaultParagraphFont"/>
    <w:rsid w:val="00472548"/>
  </w:style>
  <w:style w:type="paragraph" w:styleId="Header">
    <w:name w:val="header"/>
    <w:basedOn w:val="Normal"/>
    <w:link w:val="HeaderChar"/>
    <w:uiPriority w:val="99"/>
    <w:unhideWhenUsed/>
    <w:rsid w:val="00915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A89"/>
  </w:style>
  <w:style w:type="paragraph" w:styleId="Footer">
    <w:name w:val="footer"/>
    <w:basedOn w:val="Normal"/>
    <w:link w:val="FooterChar"/>
    <w:uiPriority w:val="99"/>
    <w:unhideWhenUsed/>
    <w:rsid w:val="00915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A89"/>
  </w:style>
  <w:style w:type="paragraph" w:styleId="NoSpacing">
    <w:name w:val="No Spacing"/>
    <w:uiPriority w:val="1"/>
    <w:qFormat/>
    <w:rsid w:val="00006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ferral@advocacyhub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C6FD977D35646A4BA8676073F1BB2" ma:contentTypeVersion="12" ma:contentTypeDescription="Create a new document." ma:contentTypeScope="" ma:versionID="599f2fc50dd184358fb9d237df7e9fca">
  <xsd:schema xmlns:xsd="http://www.w3.org/2001/XMLSchema" xmlns:xs="http://www.w3.org/2001/XMLSchema" xmlns:p="http://schemas.microsoft.com/office/2006/metadata/properties" xmlns:ns2="796bf6c7-4e31-4fb9-b727-589cb2977dd5" xmlns:ns3="84e7b033-e2f0-499c-b53e-24cb38acc523" targetNamespace="http://schemas.microsoft.com/office/2006/metadata/properties" ma:root="true" ma:fieldsID="f2e7d8f19f67ba5822677c5967fbed4e" ns2:_="" ns3:_="">
    <xsd:import namespace="796bf6c7-4e31-4fb9-b727-589cb2977dd5"/>
    <xsd:import namespace="84e7b033-e2f0-499c-b53e-24cb38acc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f6c7-4e31-4fb9-b727-589cb2977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3858ba-e9ea-438f-b427-4d898c0e7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7b033-e2f0-499c-b53e-24cb38acc5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b48d44-3b98-4c00-8747-4221f125f8b9}" ma:internalName="TaxCatchAll" ma:showField="CatchAllData" ma:web="84e7b033-e2f0-499c-b53e-24cb38acc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6bf6c7-4e31-4fb9-b727-589cb2977dd5">
      <Terms xmlns="http://schemas.microsoft.com/office/infopath/2007/PartnerControls"/>
    </lcf76f155ced4ddcb4097134ff3c332f>
    <TaxCatchAll xmlns="84e7b033-e2f0-499c-b53e-24cb38acc5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1670-C36D-4060-B50E-5AF6B501D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bf6c7-4e31-4fb9-b727-589cb2977dd5"/>
    <ds:schemaRef ds:uri="84e7b033-e2f0-499c-b53e-24cb38ac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E00CD-B52E-4988-A571-4134CA546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88636-258F-443D-83BA-82B0CA02C0CF}">
  <ds:schemaRefs>
    <ds:schemaRef ds:uri="http://schemas.microsoft.com/office/2006/metadata/properties"/>
    <ds:schemaRef ds:uri="http://schemas.microsoft.com/office/infopath/2007/PartnerControls"/>
    <ds:schemaRef ds:uri="796bf6c7-4e31-4fb9-b727-589cb2977dd5"/>
    <ds:schemaRef ds:uri="84e7b033-e2f0-499c-b53e-24cb38acc523"/>
  </ds:schemaRefs>
</ds:datastoreItem>
</file>

<file path=customXml/itemProps4.xml><?xml version="1.0" encoding="utf-8"?>
<ds:datastoreItem xmlns:ds="http://schemas.openxmlformats.org/officeDocument/2006/customXml" ds:itemID="{3630274F-A038-4C68-97C6-DF3BA036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Young</dc:creator>
  <cp:keywords/>
  <dc:description/>
  <cp:lastModifiedBy>Cathy Wood</cp:lastModifiedBy>
  <cp:revision>8</cp:revision>
  <cp:lastPrinted>2016-11-15T09:16:00Z</cp:lastPrinted>
  <dcterms:created xsi:type="dcterms:W3CDTF">2026-04-21T13:00:00Z</dcterms:created>
  <dcterms:modified xsi:type="dcterms:W3CDTF">2026-05-20T15:23:00Z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0x010100BA1C6FD977D35646A4BA8676073F1BB2</vt:lpwstr>
  </property>
  <property fmtid="{D5CDD505-2E9C-101B-9397-08002B2CF9AE}" pid="3" name="MediaServiceImageTags">
    <vt:lpwstr/>
  </property>
</Properties>
</file>